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DE" w:rsidRPr="00155C8E" w:rsidRDefault="00C438DE" w:rsidP="00C438DE">
      <w:pPr>
        <w:rPr>
          <w:rFonts w:ascii="Arial" w:hAnsi="Arial" w:cs="Arial"/>
        </w:rPr>
      </w:pPr>
      <w:bookmarkStart w:id="0" w:name="_GoBack"/>
      <w:bookmarkEnd w:id="0"/>
      <w:r w:rsidRPr="00155C8E">
        <w:rPr>
          <w:rFonts w:ascii="Arial" w:hAnsi="Arial" w:cs="Arial"/>
        </w:rPr>
        <w:t>The data from the AS4 (</w:t>
      </w:r>
      <w:r>
        <w:rPr>
          <w:rFonts w:ascii="Arial" w:hAnsi="Arial" w:cs="Arial"/>
        </w:rPr>
        <w:t>M</w:t>
      </w:r>
      <w:r w:rsidRPr="00155C8E">
        <w:rPr>
          <w:rFonts w:ascii="Arial" w:hAnsi="Arial" w:cs="Arial"/>
        </w:rPr>
        <w:t xml:space="preserve">) Form for 2017-2018 is provided below. </w:t>
      </w:r>
    </w:p>
    <w:p w:rsidR="00C438DE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bookmarkStart w:id="1" w:name="_Hlk530952111"/>
      <w:bookmarkStart w:id="2" w:name="_Hlk529737209"/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>Alabama A&amp;M University MASTER’S SOCIAL WORK PROGRAM</w:t>
      </w:r>
    </w:p>
    <w:p w:rsidR="00C438DE" w:rsidRPr="00575E22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>ASSESSMENT OF STUDENT LEARNING OUTCOMES</w:t>
      </w:r>
    </w:p>
    <w:p w:rsidR="00C438DE" w:rsidRPr="00575E22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PROGRAM OPTION: </w:t>
      </w:r>
      <w:r w:rsidRPr="00575E22">
        <w:rPr>
          <w:rFonts w:ascii="Arial" w:eastAsia="Calibri" w:hAnsi="Arial" w:cs="Arial"/>
          <w:b/>
          <w:bCs/>
          <w:i/>
          <w:spacing w:val="-3"/>
          <w:sz w:val="24"/>
          <w:szCs w:val="20"/>
        </w:rPr>
        <w:t>Main Campus-Traditional</w:t>
      </w: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  </w:t>
      </w:r>
    </w:p>
    <w:bookmarkEnd w:id="1"/>
    <w:p w:rsidR="00C438DE" w:rsidRPr="00575E22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LAST COMPLETED ON </w:t>
      </w:r>
      <w:r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November </w:t>
      </w: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>1, 2018</w:t>
      </w: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  <w:bookmarkStart w:id="3" w:name="_Hlk531665006"/>
      <w:bookmarkStart w:id="4" w:name="_Hlk528946050"/>
      <w:r w:rsidRPr="00575E22">
        <w:rPr>
          <w:rFonts w:ascii="Arial" w:eastAsia="Times New Roman" w:hAnsi="Arial" w:cs="Arial"/>
          <w:b/>
          <w:spacing w:val="-3"/>
          <w:szCs w:val="20"/>
        </w:rPr>
        <w:t>Form AS 4 (M)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99"/>
        <w:gridCol w:w="1603"/>
        <w:gridCol w:w="1598"/>
        <w:gridCol w:w="1576"/>
        <w:gridCol w:w="1487"/>
        <w:gridCol w:w="1487"/>
      </w:tblGrid>
      <w:tr w:rsidR="00C438DE" w:rsidRPr="00575E22" w:rsidTr="006B0B2D"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bookmarkEnd w:id="3"/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 BENCHMARK (GENERALIST)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 BENCHMARK (AREA OF SPECIALIZED PRACTICE)</w:t>
            </w:r>
          </w:p>
        </w:tc>
        <w:tc>
          <w:tcPr>
            <w:tcW w:w="4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PERCENTAGE OF STUDENTS ACHIEVING BENCHMARK </w:t>
            </w:r>
          </w:p>
        </w:tc>
      </w:tr>
      <w:tr w:rsidR="00C438DE" w:rsidRPr="00575E22" w:rsidTr="006B0B2D">
        <w:tc>
          <w:tcPr>
            <w:tcW w:w="1599" w:type="dxa"/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80%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b/>
                <w:spacing w:val="-3"/>
                <w:sz w:val="18"/>
                <w:szCs w:val="18"/>
              </w:rPr>
            </w:pP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b/>
                <w:spacing w:val="-3"/>
                <w:sz w:val="18"/>
                <w:szCs w:val="18"/>
              </w:rPr>
            </w:pPr>
            <w:r w:rsidRPr="00575E22">
              <w:rPr>
                <w:rFonts w:ascii="Univers" w:eastAsia="Times New Roman" w:hAnsi="Univers" w:cs="Times New Roman"/>
                <w:b/>
                <w:spacing w:val="-3"/>
                <w:sz w:val="18"/>
                <w:szCs w:val="18"/>
              </w:rPr>
              <w:t>(N=64)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of Specialized Practice #1 (Community Mental Health) (N=28)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Area of Specialized Practice #2 (Child &amp; Family Welfare) 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(N=33)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1: Demonstrate Ethical and Professional Behavior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Spring,2017-Spring 2018 Final Field Evaluations 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And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Fall, 2017-Spring, </w:t>
            </w:r>
            <w:proofErr w:type="gramStart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2018</w:t>
            </w:r>
            <w: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Comprehensive</w:t>
            </w:r>
            <w:proofErr w:type="gramEnd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Fall, 2017-Spring 2018 Final Field Evaluations- in specialized </w:t>
            </w:r>
            <w:proofErr w:type="gramStart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 (</w:t>
            </w:r>
            <w:proofErr w:type="gramEnd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SWK 681)-80% of students score 3 or higher using a 5-point scale on items assessing the 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And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Exam- 80% correct scores on items assessing the competency in Specialized practice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94.</w:t>
            </w:r>
            <w:r>
              <w:rPr>
                <w:rFonts w:eastAsia="Times New Roman" w:cstheme="minorHAnsi"/>
                <w:b/>
                <w:spacing w:val="-3"/>
              </w:rPr>
              <w:t>436</w:t>
            </w:r>
            <w:r w:rsidRPr="00575E22">
              <w:rPr>
                <w:rFonts w:eastAsia="Times New Roman" w:cstheme="minorHAnsi"/>
                <w:b/>
                <w:spacing w:val="-3"/>
              </w:rPr>
              <w:t xml:space="preserve">% 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91.015</w:t>
            </w:r>
            <w:r w:rsidRPr="00575E22">
              <w:rPr>
                <w:rFonts w:eastAsia="Times New Roman" w:cstheme="minorHAnsi"/>
                <w:b/>
                <w:spacing w:val="-3"/>
              </w:rPr>
              <w:t xml:space="preserve">%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97.</w:t>
            </w:r>
            <w:r>
              <w:rPr>
                <w:rFonts w:eastAsia="Times New Roman" w:cstheme="minorHAnsi"/>
                <w:b/>
                <w:spacing w:val="-3"/>
              </w:rPr>
              <w:t>103</w:t>
            </w:r>
            <w:r w:rsidRPr="00575E22">
              <w:rPr>
                <w:rFonts w:eastAsia="Times New Roman" w:cstheme="minorHAnsi"/>
                <w:b/>
                <w:spacing w:val="-3"/>
              </w:rPr>
              <w:t xml:space="preserve">% 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2: Engage Diversity and Difference in Practice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Spring,2017-Spring 2018 Final Field Evaluations 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 2018 Final Field Evaluations- in specialized area (SWK 681)-80% of students score 3 or higher using a 5-point scale on items assessing the competency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Exam- 80% correct scores on items assessing the competency in Specialized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jc w:val="center"/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jc w:val="center"/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jc w:val="center"/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95.</w:t>
            </w:r>
            <w:r>
              <w:rPr>
                <w:rFonts w:eastAsia="Times New Roman" w:cstheme="minorHAnsi"/>
                <w:b/>
                <w:spacing w:val="-3"/>
              </w:rPr>
              <w:t>7</w:t>
            </w:r>
            <w:r w:rsidRPr="00575E22">
              <w:rPr>
                <w:rFonts w:eastAsia="Times New Roman" w:cstheme="minorHAnsi"/>
                <w:b/>
                <w:spacing w:val="-3"/>
              </w:rPr>
              <w:t>6%</w:t>
            </w:r>
          </w:p>
          <w:p w:rsidR="00C438DE" w:rsidRPr="00575E22" w:rsidRDefault="00C438DE" w:rsidP="006B0B2D">
            <w:pPr>
              <w:rPr>
                <w:rFonts w:eastAsia="Times New Roman" w:cstheme="minorHAnsi"/>
                <w:spacing w:val="-3"/>
              </w:rPr>
            </w:pP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90.87%</w:t>
            </w: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94.241%</w:t>
            </w: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</w:tc>
      </w:tr>
      <w:tr w:rsidR="00C438DE" w:rsidRPr="00575E22" w:rsidTr="006B0B2D">
        <w:tc>
          <w:tcPr>
            <w:tcW w:w="1599" w:type="dxa"/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>Competency 3: Advance Human Rights and Social, Economic, and Environmental Justice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Spring,2017-Spring 2018 Final Field Evaluations 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 2018 Final Field Evaluations- in specialized area (SWK 681)-80% of students score 3 or higher using a 5-point scale on items assessing the competency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Exam- 80% correct scores on items assessing the competency in Specialized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95.313%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93.54%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94.551%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4: Engage In Practice-informed Research and Research-informed Practice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Spring,2017-Spring 2018 Final Field Evaluations 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And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Fall, 2017-Spring 2018 Final Field Evaluations- in specialized </w:t>
            </w:r>
            <w:proofErr w:type="gramStart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 (</w:t>
            </w:r>
            <w:proofErr w:type="gramEnd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SWK 681)-80% of students score 3 or higher using a 5-point scale on items assessing the 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And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Exam- 80% correct scores on items assessing the competency in Specialized practice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</w:t>
            </w:r>
            <w:r>
              <w:rPr>
                <w:rFonts w:eastAsia="Times New Roman" w:cstheme="minorHAnsi"/>
                <w:b/>
                <w:spacing w:val="-3"/>
              </w:rPr>
              <w:t>0</w:t>
            </w:r>
            <w:r w:rsidRPr="00575E22">
              <w:rPr>
                <w:rFonts w:eastAsia="Times New Roman" w:cstheme="minorHAnsi"/>
                <w:b/>
                <w:spacing w:val="-3"/>
              </w:rPr>
              <w:t>.</w:t>
            </w:r>
            <w:r>
              <w:rPr>
                <w:rFonts w:eastAsia="Times New Roman" w:cstheme="minorHAnsi"/>
                <w:b/>
                <w:spacing w:val="-3"/>
              </w:rPr>
              <w:t>382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83.126%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88.558%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5: Engage in Policy Practice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Spring,2017-Spring 2018 Final Field Evaluations 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And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Fall, 2017-Spring 2018 Final Field Evaluations- in specialized </w:t>
            </w:r>
            <w:proofErr w:type="gramStart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 (</w:t>
            </w:r>
            <w:proofErr w:type="gramEnd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SWK 681)-80% of students score 3 or higher using a 5-point scale on items assessing the 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And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Exam- 80% correct scores on items assessing the competency in Specialized practice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93.480%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88.771%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93.322%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Competency 6: Engage with Individuals, </w:t>
            </w: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>Families, Groups, Organizations, and Communities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 xml:space="preserve">Spring,2017-Spring 2018 Final Field Evaluations </w:t>
            </w: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>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And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 xml:space="preserve">Fall, 2017-Spring 2018 Final Field Evaluations- in </w:t>
            </w: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 xml:space="preserve">specialized </w:t>
            </w:r>
            <w:proofErr w:type="gramStart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 (</w:t>
            </w:r>
            <w:proofErr w:type="gramEnd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SWK 681)-80% of students score 3 or higher using a 5-point scale on items assessing the 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And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Exam- 80% correct scores on items assessing the competency in Specialized practice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lastRenderedPageBreak/>
              <w:t>90.886%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91.402%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95.037%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>Competency 7: Assess Individuals, Families, Groups, Organizations, and Communities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Spring,2017-Spring 2018 Final Field Evaluations 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And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Fall, 2017-Spring 2018 Final Field Evaluations- in specialized </w:t>
            </w:r>
            <w:proofErr w:type="gramStart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 (</w:t>
            </w:r>
            <w:proofErr w:type="gramEnd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SWK 681)-80% of students score 3 or higher using a 5-point scale on items assessing the 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And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Exam- 80% correct scores on items assessing the competency in Specialized practice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92.131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92.</w:t>
            </w:r>
            <w:r>
              <w:rPr>
                <w:rFonts w:eastAsia="Times New Roman" w:cstheme="minorHAnsi"/>
                <w:b/>
                <w:spacing w:val="-3"/>
              </w:rPr>
              <w:t>783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96.095%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8: Intervene with Individuals, Families, Groups, Organizations, and Communities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Spring,2017-Spring 2018 Final Field Evaluations 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And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Fall, 2017-Spring 2018 Final Field Evaluations- in specialized </w:t>
            </w:r>
            <w:proofErr w:type="gramStart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 (</w:t>
            </w:r>
            <w:proofErr w:type="gramEnd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SWK 681)-80% of students score 3 or higher using a 5-point scale on items assessing the 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And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Exam- 80% correct scores on items assessing the competency in Specialized practice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94.457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94.237%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94.908%</w:t>
            </w:r>
          </w:p>
        </w:tc>
      </w:tr>
      <w:tr w:rsidR="00C438DE" w:rsidRPr="00575E22" w:rsidTr="006B0B2D">
        <w:tc>
          <w:tcPr>
            <w:tcW w:w="1599" w:type="dxa"/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9: Evaluate Practice with Individuals, Families, Groups, Organizations, and Communities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Spring,2017-Spring 2018 Final Field Evaluations 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And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>Fall, 2017-Spring,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 xml:space="preserve">Fall, 2017-Spring 2018 Final Field Evaluations- in specialized </w:t>
            </w:r>
            <w:proofErr w:type="gramStart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 (</w:t>
            </w:r>
            <w:proofErr w:type="gramEnd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SWK 681)-80% of students score 3 or higher using a 5-point scale on items assessing the 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And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>Fall, 2017-Spring, 2018 Comprehensive Exam- 80% correct scores on items assessing the competency in Specialized practice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lastRenderedPageBreak/>
              <w:t>94.738%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89.843%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94.605%</w:t>
            </w:r>
          </w:p>
        </w:tc>
      </w:tr>
      <w:bookmarkEnd w:id="4"/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spacing w:val="-3"/>
                <w:sz w:val="16"/>
                <w:szCs w:val="16"/>
              </w:rPr>
              <w:lastRenderedPageBreak/>
              <w:t>Any Additional Competency(</w:t>
            </w:r>
            <w:proofErr w:type="spellStart"/>
            <w:r w:rsidRPr="00575E22">
              <w:rPr>
                <w:rFonts w:ascii="Arial" w:eastAsia="Calibri" w:hAnsi="Arial" w:cs="Arial"/>
                <w:b/>
                <w:spacing w:val="-3"/>
                <w:sz w:val="16"/>
                <w:szCs w:val="16"/>
              </w:rPr>
              <w:t>ies</w:t>
            </w:r>
            <w:proofErr w:type="spellEnd"/>
            <w:r w:rsidRPr="00575E22">
              <w:rPr>
                <w:rFonts w:ascii="Arial" w:eastAsia="Calibri" w:hAnsi="Arial" w:cs="Arial"/>
                <w:b/>
                <w:spacing w:val="-3"/>
                <w:sz w:val="16"/>
                <w:szCs w:val="16"/>
              </w:rPr>
              <w:t>) Developed by the Program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Not applicable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Not applicable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Not applicable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Not applicable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Not applicable</w:t>
            </w:r>
          </w:p>
        </w:tc>
      </w:tr>
    </w:tbl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  <w:r w:rsidRPr="00575E22">
        <w:rPr>
          <w:rFonts w:ascii="Univers" w:eastAsia="Times New Roman" w:hAnsi="Univers" w:cs="Times New Roman"/>
          <w:spacing w:val="-3"/>
          <w:sz w:val="24"/>
          <w:szCs w:val="20"/>
        </w:rPr>
        <w:t xml:space="preserve">    </w:t>
      </w: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>Alabama A&amp;M University MASTER’S SOCIAL WORK PROGRAM</w:t>
      </w:r>
    </w:p>
    <w:p w:rsidR="00C438DE" w:rsidRPr="00575E22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>ASSESSMENT OF STUDENT LEARNING OUTCOMES</w:t>
      </w:r>
    </w:p>
    <w:p w:rsidR="00C438DE" w:rsidRPr="00575E22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bookmarkStart w:id="5" w:name="_Hlk530952166"/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PROGRAM OPTION: </w:t>
      </w:r>
      <w:r w:rsidRPr="00575E22">
        <w:rPr>
          <w:rFonts w:ascii="Arial" w:eastAsia="Calibri" w:hAnsi="Arial" w:cs="Arial"/>
          <w:b/>
          <w:bCs/>
          <w:i/>
          <w:spacing w:val="-3"/>
          <w:sz w:val="24"/>
          <w:szCs w:val="20"/>
        </w:rPr>
        <w:t>Lawson State Campus-Traditional</w:t>
      </w: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 </w:t>
      </w:r>
      <w:bookmarkEnd w:id="5"/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 </w:t>
      </w:r>
    </w:p>
    <w:p w:rsidR="00C438DE" w:rsidRPr="00575E22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LAST COMPLETED ON </w:t>
      </w:r>
      <w:r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Nov </w:t>
      </w: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>1, 2018</w:t>
      </w: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  <w:r w:rsidRPr="00575E22">
        <w:rPr>
          <w:rFonts w:ascii="Arial" w:eastAsia="Times New Roman" w:hAnsi="Arial" w:cs="Arial"/>
          <w:b/>
          <w:spacing w:val="-3"/>
          <w:szCs w:val="20"/>
        </w:rPr>
        <w:t>Form AS 4 (M)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99"/>
        <w:gridCol w:w="1603"/>
        <w:gridCol w:w="1598"/>
        <w:gridCol w:w="1576"/>
        <w:gridCol w:w="1487"/>
        <w:gridCol w:w="1487"/>
      </w:tblGrid>
      <w:tr w:rsidR="00C438DE" w:rsidRPr="00575E22" w:rsidTr="006B0B2D"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 BENCHMARK (GENERALIST)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 BENCHMARK (AREA OF SPECIALIZED PRACTICE)</w:t>
            </w:r>
          </w:p>
        </w:tc>
        <w:tc>
          <w:tcPr>
            <w:tcW w:w="4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PERCENTAGE OF STUDENTS ACHIEVING BENCHMARK </w:t>
            </w:r>
          </w:p>
        </w:tc>
      </w:tr>
      <w:tr w:rsidR="00C438DE" w:rsidRPr="00575E22" w:rsidTr="006B0B2D">
        <w:tc>
          <w:tcPr>
            <w:tcW w:w="1599" w:type="dxa"/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80%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b/>
                <w:spacing w:val="-3"/>
                <w:sz w:val="18"/>
                <w:szCs w:val="18"/>
              </w:rPr>
            </w:pP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b/>
                <w:spacing w:val="-3"/>
                <w:sz w:val="18"/>
                <w:szCs w:val="18"/>
              </w:rPr>
            </w:pPr>
            <w:r w:rsidRPr="00575E22">
              <w:rPr>
                <w:rFonts w:ascii="Univers" w:eastAsia="Times New Roman" w:hAnsi="Univers" w:cs="Times New Roman"/>
                <w:b/>
                <w:spacing w:val="-3"/>
                <w:sz w:val="18"/>
                <w:szCs w:val="18"/>
              </w:rPr>
              <w:t>(N=4)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of Specialized Practice #1 (Community Mental Health) (N=4)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Area of Specialized Practice #2 (Child &amp; Family Welfare) 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(N=3)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1: Demonstrate Ethical and Professional Behavior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 and Spring 2018 Final Field Evaluations 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And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Spring 2018 Final Field Evaluations- in specialized </w:t>
            </w:r>
            <w:proofErr w:type="gramStart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 (</w:t>
            </w:r>
            <w:proofErr w:type="gramEnd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SWK 681)-80% of students score 3 or higher using a 5-point scale on items assessing the 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And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 2018 Comprehensive Exam- 80% correct scores on items assessing the competency in Specialized practice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81.932</w:t>
            </w:r>
            <w:r w:rsidRPr="00575E22">
              <w:rPr>
                <w:rFonts w:eastAsia="Times New Roman" w:cstheme="minorHAnsi"/>
                <w:b/>
                <w:spacing w:val="-3"/>
              </w:rPr>
              <w:t xml:space="preserve">% 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90.562</w:t>
            </w:r>
            <w:r w:rsidRPr="00575E22">
              <w:rPr>
                <w:rFonts w:eastAsia="Times New Roman" w:cstheme="minorHAnsi"/>
                <w:b/>
                <w:spacing w:val="-3"/>
              </w:rPr>
              <w:t xml:space="preserve">%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 xml:space="preserve">86.455% 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2: Engage Diversity and Difference in Practice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 and Spring 2018 Final Field Evaluations 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And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 xml:space="preserve">Spring 2018 Final Field Evaluations- in specialized </w:t>
            </w:r>
            <w:proofErr w:type="gramStart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 (</w:t>
            </w:r>
            <w:proofErr w:type="gramEnd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SWK 681)-80% of students score 3 or higher using a 5-point scale on </w:t>
            </w: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>items assessing the 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And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 2018 Comprehensive Exam- 80% correct scores on items assessing the competency in Specialized practice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jc w:val="center"/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jc w:val="center"/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jc w:val="center"/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89.03%</w:t>
            </w:r>
          </w:p>
          <w:p w:rsidR="00C438DE" w:rsidRPr="00575E22" w:rsidRDefault="00C438DE" w:rsidP="006B0B2D">
            <w:pPr>
              <w:rPr>
                <w:rFonts w:eastAsia="Times New Roman" w:cstheme="minorHAnsi"/>
                <w:spacing w:val="-3"/>
              </w:rPr>
            </w:pP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77.79%</w:t>
            </w: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91.671%</w:t>
            </w: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</w:tc>
      </w:tr>
      <w:tr w:rsidR="00C438DE" w:rsidRPr="00575E22" w:rsidTr="006B0B2D">
        <w:tc>
          <w:tcPr>
            <w:tcW w:w="1599" w:type="dxa"/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>Competency 3: Advance Human Rights and Social, Economic, and Environmental Justice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 and Spring 2018 Final Field Evaluations 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And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Spring 2018 Final Field Evaluations- in specialized </w:t>
            </w:r>
            <w:proofErr w:type="gramStart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 (</w:t>
            </w:r>
            <w:proofErr w:type="gramEnd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SWK 681)-80% of students score 3 or higher using a 5-point scale on items assessing the 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And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 2018 Comprehensive Exam- 80% correct scores on items assessing the competency in Specialized practice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82.635%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95.84%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64.582%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4: Engage In Practice-informed Research and Research-informed Practice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 and Spring 2018 Final Field Evaluations 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And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Spring 2018 Final Field Evaluations- in specialized </w:t>
            </w:r>
            <w:proofErr w:type="gramStart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 (</w:t>
            </w:r>
            <w:proofErr w:type="gramEnd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SWK 681)-80% of students score 3 or higher using a 5-point scale on items assessing the 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And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 2018 Comprehensive Exam- 80% correct scores on items assessing the competency in Specialized practice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60.646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80.565%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63.94%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5: Engage in Policy Practice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 and Spring 2018 Final Field Evaluations 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And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 xml:space="preserve">Spring 2018 Final Field Evaluations- in specialized </w:t>
            </w:r>
            <w:proofErr w:type="gramStart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 (</w:t>
            </w:r>
            <w:proofErr w:type="gramEnd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SWK 681)-80% of students score 3 or higher using a 5-point scale on items assessing the 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And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 2018 Comprehensive Exam- 80% correct scores on items assessing the competency in Specialized practice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95.37%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91.675%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75.858%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>Competency 6: Engage with Individuals, Families, Groups, Organizations, and Communities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 and Spring 2018 Final Field Evaluations 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And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Spring 2018 Final Field Evaluations- in specialized </w:t>
            </w:r>
            <w:proofErr w:type="gramStart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 (</w:t>
            </w:r>
            <w:proofErr w:type="gramEnd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SWK 681)-80% of students score 3 or higher using a 5-point scale on items assessing the 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And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 2018 Comprehensive Exam- 80% correct scores on items assessing the competency in Specialized practice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88.89%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89.45%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90%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7: Assess Individuals, Families, Groups, Organizations, and Communities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 and Spring 2018 Final Field Evaluations 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And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Spring 2018 Final Field Evaluations- in specialized </w:t>
            </w:r>
            <w:proofErr w:type="gramStart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 (</w:t>
            </w:r>
            <w:proofErr w:type="gramEnd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SWK 681)-80% of students score 3 or higher using a 5-point scale on items assessing the 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And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 2018 Comprehensive Exam- 80% correct scores on items assessing the competency in Specialized practice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93.285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80.28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86.144%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8: Intervene with Individuals, Families, Groups, Organizations, and Communities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 and Spring 2018 Final Field Evaluations 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And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Spring 2018 Final Field Evaluations- in specialized </w:t>
            </w:r>
            <w:proofErr w:type="gramStart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 (</w:t>
            </w:r>
            <w:proofErr w:type="gramEnd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SWK 681)-80% of students score 3 or higher using a 5-point scale on items assessing the 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And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 2018 Comprehensive Exam- 80% correct scores on items assessing the competency in Specialized practice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92.551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80.39%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79.464%</w:t>
            </w:r>
          </w:p>
        </w:tc>
      </w:tr>
      <w:tr w:rsidR="00C438DE" w:rsidRPr="00575E22" w:rsidTr="006B0B2D">
        <w:tc>
          <w:tcPr>
            <w:tcW w:w="1599" w:type="dxa"/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9: Evaluate Practice with Individuals, Families, Groups, Organizations, and Communities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 and Spring 2018 Final Field Evaluations 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 xml:space="preserve">And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 xml:space="preserve">Spring 2018 Final Field Evaluations- in specialized </w:t>
            </w:r>
            <w:proofErr w:type="gramStart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 (</w:t>
            </w:r>
            <w:proofErr w:type="gramEnd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SWK 681)-80% of students score 3 or higher using a 5-point scale on items assessing the 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>And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 2018 Comprehensive Exam- 80% correct scores on items assessing the competency in Specialized practice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lastRenderedPageBreak/>
              <w:t>69.675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79.17%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73.15%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spacing w:val="-3"/>
                <w:sz w:val="16"/>
                <w:szCs w:val="16"/>
              </w:rPr>
              <w:lastRenderedPageBreak/>
              <w:t>Any Additional Competency(</w:t>
            </w:r>
            <w:proofErr w:type="spellStart"/>
            <w:r w:rsidRPr="00575E22">
              <w:rPr>
                <w:rFonts w:ascii="Arial" w:eastAsia="Calibri" w:hAnsi="Arial" w:cs="Arial"/>
                <w:b/>
                <w:spacing w:val="-3"/>
                <w:sz w:val="16"/>
                <w:szCs w:val="16"/>
              </w:rPr>
              <w:t>ies</w:t>
            </w:r>
            <w:proofErr w:type="spellEnd"/>
            <w:r w:rsidRPr="00575E22">
              <w:rPr>
                <w:rFonts w:ascii="Arial" w:eastAsia="Calibri" w:hAnsi="Arial" w:cs="Arial"/>
                <w:b/>
                <w:spacing w:val="-3"/>
                <w:sz w:val="16"/>
                <w:szCs w:val="16"/>
              </w:rPr>
              <w:t>) Developed by the Program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Not applicable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Not applicable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Not applicable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Not applicable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Not applicable</w:t>
            </w:r>
          </w:p>
        </w:tc>
      </w:tr>
    </w:tbl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</w:p>
    <w:p w:rsidR="00C438DE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>Alabama A&amp;M University MASTER’S SOCIAL WORK PROGRAM</w:t>
      </w:r>
    </w:p>
    <w:p w:rsidR="00C438DE" w:rsidRPr="00575E22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>ASSESSMENT OF STUDENT LEARNING OUTCOMES</w:t>
      </w:r>
    </w:p>
    <w:p w:rsidR="00C438DE" w:rsidRPr="00575E22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>OVERALL ASSESSMENT FINDINGS</w:t>
      </w:r>
    </w:p>
    <w:p w:rsidR="00C438DE" w:rsidRPr="00575E22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LAST COMPLETED ON </w:t>
      </w:r>
      <w:r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Nov </w:t>
      </w: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>1, 2018</w:t>
      </w:r>
    </w:p>
    <w:p w:rsidR="00C438DE" w:rsidRPr="00575E22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Aggregate Findings for: </w:t>
      </w:r>
      <w:r w:rsidRPr="00575E22">
        <w:rPr>
          <w:rFonts w:ascii="Arial" w:eastAsia="Calibri" w:hAnsi="Arial" w:cs="Arial"/>
          <w:b/>
          <w:bCs/>
          <w:i/>
          <w:spacing w:val="-3"/>
          <w:sz w:val="24"/>
          <w:szCs w:val="20"/>
        </w:rPr>
        <w:t>Main Campus and Lawson State</w:t>
      </w:r>
      <w:r>
        <w:rPr>
          <w:rFonts w:ascii="Arial" w:eastAsia="Calibri" w:hAnsi="Arial" w:cs="Arial"/>
          <w:b/>
          <w:bCs/>
          <w:i/>
          <w:spacing w:val="-3"/>
          <w:sz w:val="24"/>
          <w:szCs w:val="20"/>
        </w:rPr>
        <w:t xml:space="preserve"> Community College Options</w:t>
      </w:r>
      <w:r w:rsidRPr="00575E22">
        <w:rPr>
          <w:rFonts w:ascii="Arial" w:eastAsia="Calibri" w:hAnsi="Arial" w:cs="Arial"/>
          <w:b/>
          <w:bCs/>
          <w:i/>
          <w:spacing w:val="-3"/>
          <w:sz w:val="24"/>
          <w:szCs w:val="20"/>
        </w:rPr>
        <w:t xml:space="preserve"> -Traditional</w:t>
      </w: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 </w:t>
      </w: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  <w:r w:rsidRPr="00575E22">
        <w:rPr>
          <w:rFonts w:ascii="Arial" w:eastAsia="Times New Roman" w:hAnsi="Arial" w:cs="Arial"/>
          <w:b/>
          <w:spacing w:val="-3"/>
          <w:szCs w:val="20"/>
        </w:rPr>
        <w:t>Form AS 4 (M)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99"/>
        <w:gridCol w:w="1603"/>
        <w:gridCol w:w="1598"/>
        <w:gridCol w:w="1576"/>
        <w:gridCol w:w="1487"/>
        <w:gridCol w:w="1487"/>
      </w:tblGrid>
      <w:tr w:rsidR="00C438DE" w:rsidRPr="00575E22" w:rsidTr="006B0B2D"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 BENCHMARK (GENERALIST)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 BENCHMARK (AREA OF SPECIALIZED PRACTICE)</w:t>
            </w:r>
          </w:p>
        </w:tc>
        <w:tc>
          <w:tcPr>
            <w:tcW w:w="4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PERCENTAGE OF STUDENTS ACHIEVING BENCHMARK </w:t>
            </w:r>
          </w:p>
        </w:tc>
      </w:tr>
      <w:tr w:rsidR="00C438DE" w:rsidRPr="00575E22" w:rsidTr="006B0B2D">
        <w:tc>
          <w:tcPr>
            <w:tcW w:w="1599" w:type="dxa"/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80%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b/>
                <w:spacing w:val="-3"/>
                <w:sz w:val="18"/>
                <w:szCs w:val="18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  <w:sz w:val="18"/>
                <w:szCs w:val="18"/>
              </w:rPr>
            </w:pPr>
            <w:r w:rsidRPr="00575E22">
              <w:rPr>
                <w:rFonts w:eastAsia="Times New Roman" w:cstheme="minorHAnsi"/>
                <w:b/>
                <w:spacing w:val="-3"/>
                <w:sz w:val="18"/>
                <w:szCs w:val="18"/>
              </w:rPr>
              <w:t>(N=68)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of Specialized Practice #1 (Community Mental Health) (N=32)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Area of Specialized Practice #2 (Child &amp; Family Welfare) 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(N=36)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1: Demonstrate Ethical and Professional Behavior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Spring,2017-Spring 2018 Final Field Evaluations 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And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Fall, 2017-Spring 2018 Final Field Evaluations- in specialized </w:t>
            </w:r>
            <w:proofErr w:type="gramStart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 (</w:t>
            </w:r>
            <w:proofErr w:type="gramEnd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SWK 681)-80% of students score 3 or higher using a 5-point scale on items assessing the 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And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Exam- 80% correct scores on items assessing the competency in Specialized practice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93.422</w:t>
            </w:r>
            <w:r w:rsidRPr="00575E22">
              <w:rPr>
                <w:rFonts w:eastAsia="Times New Roman" w:cstheme="minorHAnsi"/>
                <w:b/>
                <w:spacing w:val="-3"/>
              </w:rPr>
              <w:t xml:space="preserve">% 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91.146</w:t>
            </w:r>
            <w:r w:rsidRPr="00575E22">
              <w:rPr>
                <w:rFonts w:eastAsia="Times New Roman" w:cstheme="minorHAnsi"/>
                <w:b/>
                <w:spacing w:val="-3"/>
              </w:rPr>
              <w:t xml:space="preserve">%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96.118</w:t>
            </w:r>
            <w:r w:rsidRPr="00575E22">
              <w:rPr>
                <w:rFonts w:eastAsia="Times New Roman" w:cstheme="minorHAnsi"/>
                <w:b/>
                <w:spacing w:val="-3"/>
              </w:rPr>
              <w:t xml:space="preserve">% 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Competency 2: Engage Diversity </w:t>
            </w: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>and Difference in Practice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 xml:space="preserve">Spring,2017-Spring 2018 Final Field Evaluations </w:t>
            </w: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>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 xml:space="preserve">Fall, 2017-Spring 2018 Final Field Evaluations- in </w:t>
            </w: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>specialized area (SWK 681)-80% of students score 3 or higher using a 5-point scale on items assessing the competency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Exam- 80% correct scores on items assessing the competency in Specialized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jc w:val="center"/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jc w:val="center"/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jc w:val="center"/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95.26%</w:t>
            </w:r>
          </w:p>
          <w:p w:rsidR="00C438DE" w:rsidRPr="00575E22" w:rsidRDefault="00C438DE" w:rsidP="006B0B2D">
            <w:pPr>
              <w:rPr>
                <w:rFonts w:eastAsia="Times New Roman" w:cstheme="minorHAnsi"/>
                <w:spacing w:val="-3"/>
              </w:rPr>
            </w:pP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90.154%</w:t>
            </w: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93.511%</w:t>
            </w: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</w:tc>
      </w:tr>
      <w:tr w:rsidR="00C438DE" w:rsidRPr="00575E22" w:rsidTr="006B0B2D">
        <w:tc>
          <w:tcPr>
            <w:tcW w:w="1599" w:type="dxa"/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>Competency 3: Advance Human Rights and Social, Economic, and Environmental Justice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Spring,2017-Spring 2018 Final Field Evaluations 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 2018 Final Field Evaluations- in specialized area (SWK 681)-80% of students score 3 or higher using a 5-point scale on items assessing the competency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Exam- 80% correct scores on items assessing the competency in Specialized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94.5%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93.823%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91.54%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4: Engage In Practice-informed Research and Research-informed Practice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Spring,2017-Spring 2018 Final Field Evaluations 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And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Fall, 2017-Spring 2018 Final Field Evaluations- in specialized </w:t>
            </w:r>
            <w:proofErr w:type="gramStart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 (</w:t>
            </w:r>
            <w:proofErr w:type="gramEnd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SWK 681)-80% of students score 3 or higher using a 5-point scale on items assessing the 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And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Exam- 80% correct scores on items assessing the competency in Specialized practice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88.53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84.56%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86.577%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5: Engage in Policy Practice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Spring,2017-Spring 2018 Final Field Evaluations in Generalist Field </w:t>
            </w: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>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And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 xml:space="preserve">Fall, 2017-Spring 2018 Final Field Evaluations- in specialized </w:t>
            </w:r>
            <w:proofErr w:type="gramStart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area  </w:t>
            </w: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>(</w:t>
            </w:r>
            <w:proofErr w:type="gramEnd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SWK 681)-80% of students score 3 or higher using a 5-point scale on items assessing the 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And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Exam- 80% correct scores on items assessing the competency in Specialized practice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lastRenderedPageBreak/>
              <w:t>93.61%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88.479%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91.345%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>Competency 6: Engage with Individuals, Families, Groups, Organizations, and Communities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Spring,2017-Spring 2018 Final Field Evaluations 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And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Fall, 2017-Spring 2018 Final Field Evaluations- in specialized </w:t>
            </w:r>
            <w:proofErr w:type="gramStart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 (</w:t>
            </w:r>
            <w:proofErr w:type="gramEnd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SWK 681)-80% of students score 3 or higher using a 5-point scale on items assessing the 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And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Exam- 80% correct scores on items assessing the competency in Specialized practice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90.61%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91.46%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94.672%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7: Assess Individuals, Families, Groups, Organizations, and Communities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Spring,2017-Spring 2018 Final Field Evaluations 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And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Fall, 2017-Spring 2018 Final Field Evaluations- in specialized </w:t>
            </w:r>
            <w:proofErr w:type="gramStart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 (</w:t>
            </w:r>
            <w:proofErr w:type="gramEnd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SWK 681)-80% of students score 3 or higher using a 5-point scale on items assessing the 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And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Exam- 80% correct scores on items assessing the competency in Specialized practice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92.</w:t>
            </w:r>
            <w:r>
              <w:rPr>
                <w:rFonts w:eastAsia="Times New Roman" w:cstheme="minorHAnsi"/>
                <w:b/>
                <w:spacing w:val="-3"/>
              </w:rPr>
              <w:t>055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91.</w:t>
            </w:r>
            <w:r>
              <w:rPr>
                <w:rFonts w:eastAsia="Times New Roman" w:cstheme="minorHAnsi"/>
                <w:b/>
                <w:spacing w:val="-3"/>
              </w:rPr>
              <w:t>565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95.136%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8: Intervene with Individuals, Families, Groups, Organizations, and Communities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Spring,2017-Spring 2018 Final Field Evaluations 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And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Fall, 2017-Spring, 2018 </w:t>
            </w: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>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 xml:space="preserve">Fall, 2017-Spring 2018 Final Field Evaluations- in specialized </w:t>
            </w:r>
            <w:proofErr w:type="gramStart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 (</w:t>
            </w:r>
            <w:proofErr w:type="gramEnd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SWK 681)-80% of students score 3 or higher using a 5-point scale on items assessing the 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And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>Fall, 2017-Spring, 2018 Comprehensive Exam- 80% correct scores on items assessing the competency in Specialized practice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lastRenderedPageBreak/>
              <w:t>93.95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93.185%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93.335%</w:t>
            </w:r>
          </w:p>
        </w:tc>
      </w:tr>
      <w:tr w:rsidR="00C438DE" w:rsidRPr="00575E22" w:rsidTr="006B0B2D">
        <w:tc>
          <w:tcPr>
            <w:tcW w:w="1599" w:type="dxa"/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>Competency 9: Evaluate Practice with Individuals, Families, Groups, Organizations, and Communities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Spring,2017-Spring 2018 Final Field Evaluations in Generalist Field Practicum. Score 3 or higher using a 5-point scale on items assessing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And 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correct scores on items assessing competency in 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Fall, 2017-Spring 2018 Final Field Evaluations- in specialized </w:t>
            </w:r>
            <w:proofErr w:type="gramStart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 (</w:t>
            </w:r>
            <w:proofErr w:type="gramEnd"/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SWK 681)-80% of students score 3 or higher using a 5-point scale on items assessing the competency.</w:t>
            </w:r>
          </w:p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And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Fall, 2017-Spring, 2018 Comprehensive Exam- 80% correct scores on items assessing the competency in Specialized practice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92.9%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89.405%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92.678%</w:t>
            </w:r>
          </w:p>
        </w:tc>
      </w:tr>
      <w:bookmarkEnd w:id="2"/>
    </w:tbl>
    <w:p w:rsidR="00C438DE" w:rsidRPr="00155C8E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</w:p>
    <w:p w:rsidR="00C438DE" w:rsidRDefault="00C438DE" w:rsidP="00C438DE">
      <w:pPr>
        <w:rPr>
          <w:rFonts w:ascii="Arial" w:hAnsi="Arial" w:cs="Arial"/>
          <w:b/>
        </w:rPr>
      </w:pPr>
    </w:p>
    <w:p w:rsidR="00673120" w:rsidRDefault="00673120"/>
    <w:sectPr w:rsidR="00673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DE"/>
    <w:rsid w:val="00111E1D"/>
    <w:rsid w:val="00673120"/>
    <w:rsid w:val="00B83F31"/>
    <w:rsid w:val="00C4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56B4C-CE14-4DFE-BCB8-947E1E99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Plummer</dc:creator>
  <cp:keywords/>
  <dc:description/>
  <cp:lastModifiedBy>AAMU</cp:lastModifiedBy>
  <cp:revision>2</cp:revision>
  <dcterms:created xsi:type="dcterms:W3CDTF">2019-03-15T20:44:00Z</dcterms:created>
  <dcterms:modified xsi:type="dcterms:W3CDTF">2019-03-15T20:44:00Z</dcterms:modified>
</cp:coreProperties>
</file>