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BF3C0" w14:textId="09AEBFFD" w:rsidR="00674741" w:rsidRDefault="00A17255" w:rsidP="00A1725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Degree</w:t>
      </w:r>
      <w:r w:rsidR="00275E07">
        <w:rPr>
          <w:b/>
          <w:sz w:val="24"/>
          <w:szCs w:val="24"/>
        </w:rPr>
        <w:t xml:space="preserve"> Program: BA, Psychology</w:t>
      </w:r>
    </w:p>
    <w:p w14:paraId="2A3BE649" w14:textId="55D2FB18" w:rsidR="00674741" w:rsidRPr="009511CA" w:rsidRDefault="007C48BC" w:rsidP="00674741">
      <w:pPr>
        <w:rPr>
          <w:sz w:val="24"/>
          <w:szCs w:val="24"/>
        </w:rPr>
      </w:pPr>
      <w:r>
        <w:rPr>
          <w:b/>
          <w:sz w:val="24"/>
          <w:szCs w:val="24"/>
        </w:rPr>
        <w:t>Performance Target</w:t>
      </w:r>
      <w:r w:rsidR="00674741" w:rsidRPr="009511CA">
        <w:rPr>
          <w:b/>
          <w:sz w:val="24"/>
          <w:szCs w:val="24"/>
        </w:rPr>
        <w:t xml:space="preserve">: </w:t>
      </w:r>
      <w:r w:rsidR="00674741" w:rsidRPr="009511CA">
        <w:rPr>
          <w:sz w:val="24"/>
          <w:szCs w:val="24"/>
        </w:rPr>
        <w:t>Sixty- percent of students taking the</w:t>
      </w:r>
      <w:r w:rsidR="006747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Undergraduate Psychology </w:t>
      </w:r>
      <w:r w:rsidR="00674741">
        <w:rPr>
          <w:sz w:val="24"/>
          <w:szCs w:val="24"/>
        </w:rPr>
        <w:t xml:space="preserve">Exit </w:t>
      </w:r>
      <w:r w:rsidR="00CA5CF0">
        <w:rPr>
          <w:sz w:val="24"/>
          <w:szCs w:val="24"/>
        </w:rPr>
        <w:t xml:space="preserve">Examination </w:t>
      </w:r>
      <w:r w:rsidR="00674741" w:rsidRPr="009511CA">
        <w:rPr>
          <w:sz w:val="24"/>
          <w:szCs w:val="24"/>
        </w:rPr>
        <w:t xml:space="preserve">will </w:t>
      </w:r>
      <w:r w:rsidR="00CA5CF0">
        <w:rPr>
          <w:sz w:val="24"/>
          <w:szCs w:val="24"/>
        </w:rPr>
        <w:t>score 70% or better</w:t>
      </w:r>
      <w:r w:rsidR="00447DAE">
        <w:rPr>
          <w:sz w:val="24"/>
          <w:szCs w:val="24"/>
        </w:rPr>
        <w:t>.</w:t>
      </w:r>
    </w:p>
    <w:p w14:paraId="56FE4148" w14:textId="19F7BB09" w:rsidR="00674741" w:rsidRDefault="00674741" w:rsidP="00674741">
      <w:pPr>
        <w:spacing w:line="240" w:lineRule="auto"/>
        <w:rPr>
          <w:sz w:val="24"/>
          <w:szCs w:val="24"/>
        </w:rPr>
      </w:pPr>
      <w:r w:rsidRPr="009511CA">
        <w:rPr>
          <w:b/>
          <w:sz w:val="24"/>
          <w:szCs w:val="24"/>
        </w:rPr>
        <w:t xml:space="preserve">Direct Assessment Measure- </w:t>
      </w:r>
      <w:r w:rsidR="0047423F" w:rsidRPr="0047423F">
        <w:rPr>
          <w:sz w:val="24"/>
          <w:szCs w:val="24"/>
        </w:rPr>
        <w:t xml:space="preserve">This exam is designed to measure student acquisition of core knowledge </w:t>
      </w:r>
      <w:r w:rsidR="005D5782">
        <w:rPr>
          <w:sz w:val="24"/>
          <w:szCs w:val="24"/>
        </w:rPr>
        <w:t>in core domains of the discipline</w:t>
      </w:r>
      <w:r w:rsidR="00F917FD">
        <w:rPr>
          <w:sz w:val="24"/>
          <w:szCs w:val="24"/>
        </w:rPr>
        <w:t xml:space="preserve"> of psychology</w:t>
      </w:r>
      <w:r w:rsidR="0047423F" w:rsidRPr="0047423F">
        <w:rPr>
          <w:sz w:val="24"/>
          <w:szCs w:val="24"/>
        </w:rPr>
        <w:t xml:space="preserve">. This 100-item exam is offered once </w:t>
      </w:r>
      <w:r w:rsidR="00377A66">
        <w:rPr>
          <w:sz w:val="24"/>
          <w:szCs w:val="24"/>
        </w:rPr>
        <w:t xml:space="preserve">each </w:t>
      </w:r>
      <w:r w:rsidR="0047423F" w:rsidRPr="0047423F">
        <w:rPr>
          <w:sz w:val="24"/>
          <w:szCs w:val="24"/>
        </w:rPr>
        <w:t>semester. Students who have attained senior status are eligible to sit for the exam.</w:t>
      </w:r>
    </w:p>
    <w:p w14:paraId="4FCF10A6" w14:textId="77777777" w:rsidR="00447DAE" w:rsidRPr="0047423F" w:rsidRDefault="00447DAE" w:rsidP="00674741">
      <w:pPr>
        <w:spacing w:line="240" w:lineRule="auto"/>
        <w:rPr>
          <w:sz w:val="24"/>
          <w:szCs w:val="24"/>
        </w:rPr>
      </w:pPr>
    </w:p>
    <w:p w14:paraId="0961BB57" w14:textId="457A888B" w:rsidR="00686718" w:rsidRPr="00674741" w:rsidRDefault="002A1EAD">
      <w:pPr>
        <w:rPr>
          <w:b/>
          <w:sz w:val="24"/>
          <w:szCs w:val="24"/>
        </w:rPr>
      </w:pPr>
      <w:r w:rsidRPr="00674741">
        <w:rPr>
          <w:b/>
          <w:sz w:val="24"/>
          <w:szCs w:val="24"/>
        </w:rPr>
        <w:t xml:space="preserve">Table </w:t>
      </w:r>
      <w:r w:rsidR="00C91B9A">
        <w:rPr>
          <w:b/>
          <w:sz w:val="24"/>
          <w:szCs w:val="24"/>
        </w:rPr>
        <w:t>5</w:t>
      </w:r>
      <w:r w:rsidR="00DA39B2" w:rsidRPr="00674741">
        <w:rPr>
          <w:b/>
          <w:sz w:val="24"/>
          <w:szCs w:val="24"/>
        </w:rPr>
        <w:t xml:space="preserve">. </w:t>
      </w:r>
      <w:r w:rsidR="00686718" w:rsidRPr="00674741">
        <w:rPr>
          <w:b/>
          <w:sz w:val="24"/>
          <w:szCs w:val="24"/>
        </w:rPr>
        <w:t>Undergraduate</w:t>
      </w:r>
      <w:r w:rsidR="00674741">
        <w:rPr>
          <w:b/>
          <w:sz w:val="24"/>
          <w:szCs w:val="24"/>
        </w:rPr>
        <w:t xml:space="preserve"> Exit Exam</w:t>
      </w:r>
      <w:r w:rsidR="00686718" w:rsidRPr="00674741">
        <w:rPr>
          <w:b/>
          <w:sz w:val="24"/>
          <w:szCs w:val="24"/>
        </w:rPr>
        <w:t xml:space="preserve"> </w:t>
      </w:r>
      <w:r w:rsidR="00674741">
        <w:rPr>
          <w:b/>
          <w:sz w:val="24"/>
          <w:szCs w:val="24"/>
        </w:rPr>
        <w:t>Passage Rate for 2017-</w:t>
      </w:r>
      <w:r w:rsidR="00686718" w:rsidRPr="00674741">
        <w:rPr>
          <w:b/>
          <w:sz w:val="24"/>
          <w:szCs w:val="24"/>
        </w:rPr>
        <w:t xml:space="preserve"> 2018</w:t>
      </w:r>
      <w:r w:rsidR="00674741">
        <w:rPr>
          <w:b/>
          <w:sz w:val="24"/>
          <w:szCs w:val="24"/>
        </w:rPr>
        <w:t xml:space="preserve"> Academic Year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42"/>
        <w:gridCol w:w="2239"/>
        <w:gridCol w:w="2418"/>
      </w:tblGrid>
      <w:tr w:rsidR="00674741" w:rsidRPr="00674741" w14:paraId="120E4D46" w14:textId="77777777" w:rsidTr="00674741">
        <w:trPr>
          <w:trHeight w:val="293"/>
        </w:trPr>
        <w:tc>
          <w:tcPr>
            <w:tcW w:w="3342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14:paraId="055CACD6" w14:textId="63EA278A" w:rsidR="00674741" w:rsidRPr="00674741" w:rsidRDefault="00674741" w:rsidP="007222E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641BF61A" w14:textId="1DC41EE0" w:rsidR="00674741" w:rsidRPr="00674741" w:rsidRDefault="00674741" w:rsidP="00674741">
            <w:pPr>
              <w:ind w:left="692"/>
              <w:rPr>
                <w:b/>
                <w:sz w:val="24"/>
                <w:szCs w:val="24"/>
              </w:rPr>
            </w:pPr>
            <w:r w:rsidRPr="0067474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8" w:type="dxa"/>
            <w:shd w:val="clear" w:color="auto" w:fill="9CC2E5" w:themeFill="accent1" w:themeFillTint="99"/>
          </w:tcPr>
          <w:p w14:paraId="4F5F3202" w14:textId="4FB16928" w:rsidR="00674741" w:rsidRPr="00674741" w:rsidRDefault="00674741" w:rsidP="0067474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74741">
              <w:rPr>
                <w:b/>
                <w:sz w:val="24"/>
                <w:szCs w:val="24"/>
              </w:rPr>
              <w:t>2018</w:t>
            </w:r>
          </w:p>
        </w:tc>
      </w:tr>
      <w:tr w:rsidR="00674741" w:rsidRPr="00674741" w14:paraId="6F6967D7" w14:textId="77777777" w:rsidTr="00674741">
        <w:trPr>
          <w:trHeight w:val="272"/>
        </w:trPr>
        <w:tc>
          <w:tcPr>
            <w:tcW w:w="3342" w:type="dxa"/>
            <w:tcBorders>
              <w:right w:val="single" w:sz="4" w:space="0" w:color="auto"/>
            </w:tcBorders>
            <w:shd w:val="clear" w:color="auto" w:fill="auto"/>
          </w:tcPr>
          <w:p w14:paraId="49B7220A" w14:textId="77777777" w:rsidR="00686718" w:rsidRPr="00674741" w:rsidRDefault="00686718" w:rsidP="002A1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4741">
              <w:rPr>
                <w:sz w:val="24"/>
                <w:szCs w:val="24"/>
              </w:rPr>
              <w:t>Mean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11A1A889" w14:textId="75031185" w:rsidR="00686718" w:rsidRPr="00674741" w:rsidRDefault="002A1EAD" w:rsidP="002A1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4741">
              <w:rPr>
                <w:sz w:val="24"/>
                <w:szCs w:val="24"/>
              </w:rPr>
              <w:t>71</w:t>
            </w:r>
          </w:p>
        </w:tc>
        <w:tc>
          <w:tcPr>
            <w:tcW w:w="2418" w:type="dxa"/>
            <w:shd w:val="clear" w:color="auto" w:fill="auto"/>
          </w:tcPr>
          <w:p w14:paraId="01CB4D84" w14:textId="21EF5E51" w:rsidR="00686718" w:rsidRPr="00674741" w:rsidRDefault="002A1EAD" w:rsidP="002A1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4741">
              <w:rPr>
                <w:sz w:val="24"/>
                <w:szCs w:val="24"/>
              </w:rPr>
              <w:t>69</w:t>
            </w:r>
          </w:p>
        </w:tc>
      </w:tr>
      <w:tr w:rsidR="00674741" w:rsidRPr="00674741" w14:paraId="6B2EAED5" w14:textId="77777777" w:rsidTr="00674741">
        <w:trPr>
          <w:trHeight w:val="293"/>
        </w:trPr>
        <w:tc>
          <w:tcPr>
            <w:tcW w:w="3342" w:type="dxa"/>
            <w:shd w:val="clear" w:color="auto" w:fill="auto"/>
          </w:tcPr>
          <w:p w14:paraId="39C1875D" w14:textId="77777777" w:rsidR="00686718" w:rsidRPr="00674741" w:rsidRDefault="00686718" w:rsidP="002A1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4741">
              <w:rPr>
                <w:sz w:val="24"/>
                <w:szCs w:val="24"/>
              </w:rPr>
              <w:t>Median</w:t>
            </w:r>
          </w:p>
        </w:tc>
        <w:tc>
          <w:tcPr>
            <w:tcW w:w="2239" w:type="dxa"/>
            <w:shd w:val="clear" w:color="auto" w:fill="auto"/>
          </w:tcPr>
          <w:p w14:paraId="5072C6B0" w14:textId="3022DFF8" w:rsidR="00686718" w:rsidRPr="00674741" w:rsidRDefault="002A1EAD" w:rsidP="002A1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4741">
              <w:rPr>
                <w:sz w:val="24"/>
                <w:szCs w:val="24"/>
              </w:rPr>
              <w:t>78</w:t>
            </w:r>
          </w:p>
        </w:tc>
        <w:tc>
          <w:tcPr>
            <w:tcW w:w="2418" w:type="dxa"/>
            <w:shd w:val="clear" w:color="auto" w:fill="auto"/>
          </w:tcPr>
          <w:p w14:paraId="5E3D27DA" w14:textId="77777777" w:rsidR="00686718" w:rsidRPr="00674741" w:rsidRDefault="00686718" w:rsidP="002A1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4741">
              <w:rPr>
                <w:sz w:val="24"/>
                <w:szCs w:val="24"/>
              </w:rPr>
              <w:t>67</w:t>
            </w:r>
          </w:p>
        </w:tc>
      </w:tr>
      <w:tr w:rsidR="00674741" w:rsidRPr="00674741" w14:paraId="3A67E2CB" w14:textId="77777777" w:rsidTr="00674741">
        <w:trPr>
          <w:trHeight w:val="293"/>
        </w:trPr>
        <w:tc>
          <w:tcPr>
            <w:tcW w:w="3342" w:type="dxa"/>
            <w:shd w:val="clear" w:color="auto" w:fill="auto"/>
          </w:tcPr>
          <w:p w14:paraId="78F61D02" w14:textId="77777777" w:rsidR="00686718" w:rsidRPr="00674741" w:rsidRDefault="00686718" w:rsidP="002A1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4741">
              <w:rPr>
                <w:sz w:val="24"/>
                <w:szCs w:val="24"/>
              </w:rPr>
              <w:t>SD</w:t>
            </w:r>
          </w:p>
        </w:tc>
        <w:tc>
          <w:tcPr>
            <w:tcW w:w="2239" w:type="dxa"/>
            <w:shd w:val="clear" w:color="auto" w:fill="auto"/>
          </w:tcPr>
          <w:p w14:paraId="14C3CAD8" w14:textId="51CFC528" w:rsidR="00686718" w:rsidRPr="00674741" w:rsidRDefault="002A1EAD" w:rsidP="002A1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4741">
              <w:rPr>
                <w:sz w:val="24"/>
                <w:szCs w:val="24"/>
              </w:rPr>
              <w:t>14.44</w:t>
            </w:r>
          </w:p>
        </w:tc>
        <w:tc>
          <w:tcPr>
            <w:tcW w:w="2418" w:type="dxa"/>
            <w:shd w:val="clear" w:color="auto" w:fill="auto"/>
          </w:tcPr>
          <w:p w14:paraId="36497059" w14:textId="485D2C9F" w:rsidR="00686718" w:rsidRPr="00674741" w:rsidRDefault="002A1EAD" w:rsidP="002A1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4741">
              <w:rPr>
                <w:sz w:val="24"/>
                <w:szCs w:val="24"/>
              </w:rPr>
              <w:t>11. 41</w:t>
            </w:r>
          </w:p>
        </w:tc>
      </w:tr>
      <w:tr w:rsidR="00674741" w:rsidRPr="00674741" w14:paraId="3DD17889" w14:textId="77777777" w:rsidTr="00674741">
        <w:trPr>
          <w:trHeight w:val="272"/>
        </w:trPr>
        <w:tc>
          <w:tcPr>
            <w:tcW w:w="3342" w:type="dxa"/>
            <w:shd w:val="clear" w:color="auto" w:fill="auto"/>
          </w:tcPr>
          <w:p w14:paraId="3E746521" w14:textId="5AA039DE" w:rsidR="00686718" w:rsidRPr="00674741" w:rsidRDefault="00686718" w:rsidP="002A1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4741">
              <w:rPr>
                <w:sz w:val="24"/>
                <w:szCs w:val="24"/>
              </w:rPr>
              <w:t>Min</w:t>
            </w:r>
          </w:p>
        </w:tc>
        <w:tc>
          <w:tcPr>
            <w:tcW w:w="2239" w:type="dxa"/>
            <w:shd w:val="clear" w:color="auto" w:fill="auto"/>
          </w:tcPr>
          <w:p w14:paraId="12588599" w14:textId="77777777" w:rsidR="00686718" w:rsidRPr="00674741" w:rsidRDefault="00686718" w:rsidP="002A1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4741">
              <w:rPr>
                <w:sz w:val="24"/>
                <w:szCs w:val="24"/>
              </w:rPr>
              <w:t>39</w:t>
            </w:r>
          </w:p>
        </w:tc>
        <w:tc>
          <w:tcPr>
            <w:tcW w:w="2418" w:type="dxa"/>
            <w:shd w:val="clear" w:color="auto" w:fill="auto"/>
          </w:tcPr>
          <w:p w14:paraId="6909F38E" w14:textId="77777777" w:rsidR="00686718" w:rsidRPr="00674741" w:rsidRDefault="00686718" w:rsidP="002A1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4741">
              <w:rPr>
                <w:sz w:val="24"/>
                <w:szCs w:val="24"/>
              </w:rPr>
              <w:t>54</w:t>
            </w:r>
          </w:p>
        </w:tc>
      </w:tr>
      <w:tr w:rsidR="00674741" w:rsidRPr="00674741" w14:paraId="66834B05" w14:textId="77777777" w:rsidTr="00674741">
        <w:trPr>
          <w:trHeight w:val="293"/>
        </w:trPr>
        <w:tc>
          <w:tcPr>
            <w:tcW w:w="3342" w:type="dxa"/>
            <w:shd w:val="clear" w:color="auto" w:fill="auto"/>
          </w:tcPr>
          <w:p w14:paraId="2809F377" w14:textId="77777777" w:rsidR="00686718" w:rsidRPr="00674741" w:rsidRDefault="00686718" w:rsidP="002A1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4741">
              <w:rPr>
                <w:sz w:val="24"/>
                <w:szCs w:val="24"/>
              </w:rPr>
              <w:t>Max</w:t>
            </w:r>
          </w:p>
        </w:tc>
        <w:tc>
          <w:tcPr>
            <w:tcW w:w="2239" w:type="dxa"/>
            <w:shd w:val="clear" w:color="auto" w:fill="auto"/>
          </w:tcPr>
          <w:p w14:paraId="20CDF1F3" w14:textId="77777777" w:rsidR="00686718" w:rsidRPr="00674741" w:rsidRDefault="00686718" w:rsidP="002A1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4741">
              <w:rPr>
                <w:sz w:val="24"/>
                <w:szCs w:val="24"/>
              </w:rPr>
              <w:t>89</w:t>
            </w:r>
          </w:p>
        </w:tc>
        <w:tc>
          <w:tcPr>
            <w:tcW w:w="2418" w:type="dxa"/>
            <w:shd w:val="clear" w:color="auto" w:fill="auto"/>
          </w:tcPr>
          <w:p w14:paraId="17C7C954" w14:textId="77777777" w:rsidR="00686718" w:rsidRPr="00674741" w:rsidRDefault="00686718" w:rsidP="002A1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4741">
              <w:rPr>
                <w:sz w:val="24"/>
                <w:szCs w:val="24"/>
              </w:rPr>
              <w:t>88</w:t>
            </w:r>
          </w:p>
        </w:tc>
      </w:tr>
      <w:tr w:rsidR="00674741" w:rsidRPr="00674741" w14:paraId="75C36781" w14:textId="77777777" w:rsidTr="00674741">
        <w:trPr>
          <w:trHeight w:val="272"/>
        </w:trPr>
        <w:tc>
          <w:tcPr>
            <w:tcW w:w="3342" w:type="dxa"/>
            <w:shd w:val="clear" w:color="auto" w:fill="A8D08D" w:themeFill="accent6" w:themeFillTint="99"/>
          </w:tcPr>
          <w:p w14:paraId="55E1DECC" w14:textId="4FD8E8C4" w:rsidR="00686718" w:rsidRPr="00674741" w:rsidRDefault="00686718" w:rsidP="002A1E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4741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239" w:type="dxa"/>
            <w:shd w:val="clear" w:color="auto" w:fill="A8D08D" w:themeFill="accent6" w:themeFillTint="99"/>
          </w:tcPr>
          <w:p w14:paraId="552D2C19" w14:textId="77777777" w:rsidR="00686718" w:rsidRPr="00674741" w:rsidRDefault="00686718" w:rsidP="002A1E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474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18" w:type="dxa"/>
            <w:shd w:val="clear" w:color="auto" w:fill="A8D08D" w:themeFill="accent6" w:themeFillTint="99"/>
          </w:tcPr>
          <w:p w14:paraId="41019BD1" w14:textId="77777777" w:rsidR="00686718" w:rsidRPr="00674741" w:rsidRDefault="00686718" w:rsidP="002A1E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4741">
              <w:rPr>
                <w:b/>
                <w:sz w:val="24"/>
                <w:szCs w:val="24"/>
              </w:rPr>
              <w:t>9</w:t>
            </w:r>
          </w:p>
        </w:tc>
      </w:tr>
    </w:tbl>
    <w:p w14:paraId="6466C41C" w14:textId="77777777" w:rsidR="00686718" w:rsidRDefault="00686718" w:rsidP="002A1EAD">
      <w:pPr>
        <w:jc w:val="center"/>
        <w:rPr>
          <w:b/>
        </w:rPr>
      </w:pPr>
    </w:p>
    <w:p w14:paraId="557E56F0" w14:textId="7374439C" w:rsidR="00DA39B2" w:rsidRPr="00554A71" w:rsidRDefault="002A1EAD" w:rsidP="002A1EAD">
      <w:pPr>
        <w:rPr>
          <w:sz w:val="24"/>
          <w:szCs w:val="24"/>
        </w:rPr>
      </w:pPr>
      <w:r w:rsidRPr="00554A71">
        <w:rPr>
          <w:sz w:val="24"/>
          <w:szCs w:val="24"/>
        </w:rPr>
        <w:t xml:space="preserve">Table </w:t>
      </w:r>
      <w:r w:rsidR="00C91B9A">
        <w:rPr>
          <w:sz w:val="24"/>
          <w:szCs w:val="24"/>
        </w:rPr>
        <w:t>5</w:t>
      </w:r>
      <w:r w:rsidR="00DA39B2" w:rsidRPr="00554A71">
        <w:rPr>
          <w:sz w:val="24"/>
          <w:szCs w:val="24"/>
        </w:rPr>
        <w:t xml:space="preserve"> shows th</w:t>
      </w:r>
      <w:r w:rsidR="00674741" w:rsidRPr="00554A71">
        <w:rPr>
          <w:sz w:val="24"/>
          <w:szCs w:val="24"/>
        </w:rPr>
        <w:t>e</w:t>
      </w:r>
      <w:r w:rsidR="004E2DB3">
        <w:rPr>
          <w:sz w:val="24"/>
          <w:szCs w:val="24"/>
        </w:rPr>
        <w:t xml:space="preserve"> </w:t>
      </w:r>
      <w:r w:rsidR="00C91B9A">
        <w:rPr>
          <w:sz w:val="24"/>
          <w:szCs w:val="24"/>
        </w:rPr>
        <w:t xml:space="preserve">Fall </w:t>
      </w:r>
      <w:r w:rsidR="00674741" w:rsidRPr="00554A71">
        <w:rPr>
          <w:sz w:val="24"/>
          <w:szCs w:val="24"/>
        </w:rPr>
        <w:t xml:space="preserve">2017 and </w:t>
      </w:r>
      <w:r w:rsidR="00C91B9A">
        <w:rPr>
          <w:sz w:val="24"/>
          <w:szCs w:val="24"/>
        </w:rPr>
        <w:t xml:space="preserve">Spring </w:t>
      </w:r>
      <w:r w:rsidR="00674741" w:rsidRPr="00554A71">
        <w:rPr>
          <w:sz w:val="24"/>
          <w:szCs w:val="24"/>
        </w:rPr>
        <w:t>2018 results from the U</w:t>
      </w:r>
      <w:r w:rsidR="00DA39B2" w:rsidRPr="00554A71">
        <w:rPr>
          <w:sz w:val="24"/>
          <w:szCs w:val="24"/>
        </w:rPr>
        <w:t xml:space="preserve">ndergraduate </w:t>
      </w:r>
      <w:r w:rsidR="004E2DB3">
        <w:rPr>
          <w:sz w:val="24"/>
          <w:szCs w:val="24"/>
        </w:rPr>
        <w:t>E</w:t>
      </w:r>
      <w:r w:rsidR="00DA39B2" w:rsidRPr="00554A71">
        <w:rPr>
          <w:sz w:val="24"/>
          <w:szCs w:val="24"/>
        </w:rPr>
        <w:t xml:space="preserve">xit </w:t>
      </w:r>
      <w:r w:rsidR="004E2DB3">
        <w:rPr>
          <w:sz w:val="24"/>
          <w:szCs w:val="24"/>
        </w:rPr>
        <w:t>Examination</w:t>
      </w:r>
      <w:r w:rsidR="00DA39B2" w:rsidRPr="00554A71">
        <w:rPr>
          <w:sz w:val="24"/>
          <w:szCs w:val="24"/>
        </w:rPr>
        <w:t xml:space="preserve">. Descriptive statistics </w:t>
      </w:r>
      <w:r w:rsidR="00AE7253">
        <w:rPr>
          <w:sz w:val="24"/>
          <w:szCs w:val="24"/>
        </w:rPr>
        <w:t xml:space="preserve">were </w:t>
      </w:r>
      <w:r w:rsidR="00DA39B2" w:rsidRPr="00554A71">
        <w:rPr>
          <w:sz w:val="24"/>
          <w:szCs w:val="24"/>
        </w:rPr>
        <w:t xml:space="preserve">conducted to assess the performance of students on the </w:t>
      </w:r>
      <w:r w:rsidR="003909EE">
        <w:rPr>
          <w:sz w:val="24"/>
          <w:szCs w:val="24"/>
        </w:rPr>
        <w:t xml:space="preserve">Fall </w:t>
      </w:r>
      <w:r w:rsidR="00DA39B2" w:rsidRPr="00554A71">
        <w:rPr>
          <w:sz w:val="24"/>
          <w:szCs w:val="24"/>
        </w:rPr>
        <w:t xml:space="preserve">2017 and </w:t>
      </w:r>
      <w:r w:rsidR="003909EE">
        <w:rPr>
          <w:sz w:val="24"/>
          <w:szCs w:val="24"/>
        </w:rPr>
        <w:t xml:space="preserve">Spring </w:t>
      </w:r>
      <w:r w:rsidR="00DA39B2" w:rsidRPr="00554A71">
        <w:rPr>
          <w:sz w:val="24"/>
          <w:szCs w:val="24"/>
        </w:rPr>
        <w:t xml:space="preserve">2018 </w:t>
      </w:r>
      <w:r w:rsidR="003909EE">
        <w:rPr>
          <w:sz w:val="24"/>
          <w:szCs w:val="24"/>
        </w:rPr>
        <w:t>U</w:t>
      </w:r>
      <w:r w:rsidR="00DA39B2" w:rsidRPr="00554A71">
        <w:rPr>
          <w:sz w:val="24"/>
          <w:szCs w:val="24"/>
        </w:rPr>
        <w:t>ndergraduate E</w:t>
      </w:r>
      <w:r w:rsidR="003909EE">
        <w:rPr>
          <w:sz w:val="24"/>
          <w:szCs w:val="24"/>
        </w:rPr>
        <w:t>xit Examination</w:t>
      </w:r>
      <w:r w:rsidR="00DA39B2" w:rsidRPr="00554A71">
        <w:rPr>
          <w:sz w:val="24"/>
          <w:szCs w:val="24"/>
        </w:rPr>
        <w:t xml:space="preserve">. The analysis revealed that a </w:t>
      </w:r>
      <w:r w:rsidR="008F33EC" w:rsidRPr="00554A71">
        <w:rPr>
          <w:sz w:val="24"/>
          <w:szCs w:val="24"/>
        </w:rPr>
        <w:t xml:space="preserve">total </w:t>
      </w:r>
      <w:r w:rsidR="00DA39B2" w:rsidRPr="00554A71">
        <w:rPr>
          <w:sz w:val="24"/>
          <w:szCs w:val="24"/>
        </w:rPr>
        <w:t xml:space="preserve">of </w:t>
      </w:r>
      <w:r w:rsidR="00674741" w:rsidRPr="00554A71">
        <w:rPr>
          <w:sz w:val="24"/>
          <w:szCs w:val="24"/>
        </w:rPr>
        <w:t xml:space="preserve">N= </w:t>
      </w:r>
      <w:r w:rsidR="00DA39B2" w:rsidRPr="00554A71">
        <w:rPr>
          <w:b/>
          <w:sz w:val="24"/>
          <w:szCs w:val="24"/>
        </w:rPr>
        <w:t>2</w:t>
      </w:r>
      <w:r w:rsidR="008F33EC" w:rsidRPr="00554A71">
        <w:rPr>
          <w:b/>
          <w:sz w:val="24"/>
          <w:szCs w:val="24"/>
        </w:rPr>
        <w:t>5</w:t>
      </w:r>
      <w:r w:rsidR="00DA39B2" w:rsidRPr="00554A71">
        <w:rPr>
          <w:b/>
          <w:sz w:val="24"/>
          <w:szCs w:val="24"/>
        </w:rPr>
        <w:t xml:space="preserve"> students</w:t>
      </w:r>
      <w:r w:rsidR="00DA39B2" w:rsidRPr="00554A71">
        <w:rPr>
          <w:sz w:val="24"/>
          <w:szCs w:val="24"/>
        </w:rPr>
        <w:t xml:space="preserve"> took the </w:t>
      </w:r>
      <w:r w:rsidR="008F33EC" w:rsidRPr="00554A71">
        <w:rPr>
          <w:sz w:val="24"/>
          <w:szCs w:val="24"/>
        </w:rPr>
        <w:t xml:space="preserve">exit examination in 2017 and </w:t>
      </w:r>
      <w:r w:rsidR="00DA39B2" w:rsidRPr="00554A71">
        <w:rPr>
          <w:sz w:val="24"/>
          <w:szCs w:val="24"/>
        </w:rPr>
        <w:t xml:space="preserve">2018. The breakdown shows that </w:t>
      </w:r>
      <w:r w:rsidR="008F33EC" w:rsidRPr="00554A71">
        <w:rPr>
          <w:sz w:val="24"/>
          <w:szCs w:val="24"/>
        </w:rPr>
        <w:t>16 students took the examination in 2017, whereas 9 students took the examination in 2018</w:t>
      </w:r>
      <w:r w:rsidR="00674741" w:rsidRPr="00554A71">
        <w:rPr>
          <w:sz w:val="24"/>
          <w:szCs w:val="24"/>
        </w:rPr>
        <w:t xml:space="preserve">. The results show </w:t>
      </w:r>
      <w:r w:rsidR="00DA39B2" w:rsidRPr="00554A71">
        <w:rPr>
          <w:sz w:val="24"/>
          <w:szCs w:val="24"/>
        </w:rPr>
        <w:t>th</w:t>
      </w:r>
      <w:r w:rsidR="008F33EC" w:rsidRPr="00554A71">
        <w:rPr>
          <w:sz w:val="24"/>
          <w:szCs w:val="24"/>
        </w:rPr>
        <w:t xml:space="preserve">at students </w:t>
      </w:r>
      <w:r w:rsidR="00674741" w:rsidRPr="00554A71">
        <w:rPr>
          <w:sz w:val="24"/>
          <w:szCs w:val="24"/>
        </w:rPr>
        <w:t xml:space="preserve">average </w:t>
      </w:r>
      <w:r w:rsidR="00DA39B2" w:rsidRPr="00554A71">
        <w:rPr>
          <w:sz w:val="24"/>
          <w:szCs w:val="24"/>
        </w:rPr>
        <w:t xml:space="preserve">score for </w:t>
      </w:r>
      <w:r w:rsidR="008F33EC" w:rsidRPr="00554A71">
        <w:rPr>
          <w:sz w:val="24"/>
          <w:szCs w:val="24"/>
        </w:rPr>
        <w:t>the exit exam in 2017 was</w:t>
      </w:r>
      <w:r w:rsidR="008F33EC" w:rsidRPr="00554A71">
        <w:rPr>
          <w:b/>
          <w:sz w:val="24"/>
          <w:szCs w:val="24"/>
        </w:rPr>
        <w:t xml:space="preserve"> </w:t>
      </w:r>
      <w:r w:rsidR="00674741" w:rsidRPr="00554A71">
        <w:rPr>
          <w:b/>
          <w:sz w:val="24"/>
          <w:szCs w:val="24"/>
        </w:rPr>
        <w:t>(</w:t>
      </w:r>
      <w:r w:rsidR="00DA39B2" w:rsidRPr="00554A71">
        <w:rPr>
          <w:b/>
          <w:sz w:val="24"/>
          <w:szCs w:val="24"/>
        </w:rPr>
        <w:t>M=</w:t>
      </w:r>
      <w:r w:rsidR="008F33EC" w:rsidRPr="00554A71">
        <w:rPr>
          <w:b/>
          <w:sz w:val="24"/>
          <w:szCs w:val="24"/>
        </w:rPr>
        <w:t>71</w:t>
      </w:r>
      <w:r w:rsidR="00DA39B2" w:rsidRPr="00554A71">
        <w:rPr>
          <w:b/>
          <w:sz w:val="24"/>
          <w:szCs w:val="24"/>
        </w:rPr>
        <w:t>, SD=</w:t>
      </w:r>
      <w:r w:rsidR="008F33EC" w:rsidRPr="00554A71">
        <w:rPr>
          <w:b/>
          <w:sz w:val="24"/>
          <w:szCs w:val="24"/>
        </w:rPr>
        <w:t>1</w:t>
      </w:r>
      <w:r w:rsidR="00674741" w:rsidRPr="00554A71">
        <w:rPr>
          <w:b/>
          <w:sz w:val="24"/>
          <w:szCs w:val="24"/>
        </w:rPr>
        <w:t>4.</w:t>
      </w:r>
      <w:r w:rsidR="008F33EC" w:rsidRPr="00554A71">
        <w:rPr>
          <w:b/>
          <w:sz w:val="24"/>
          <w:szCs w:val="24"/>
        </w:rPr>
        <w:t>44</w:t>
      </w:r>
      <w:r w:rsidR="00674741" w:rsidRPr="00554A71">
        <w:rPr>
          <w:sz w:val="24"/>
          <w:szCs w:val="24"/>
        </w:rPr>
        <w:t>)</w:t>
      </w:r>
      <w:r w:rsidR="008F33EC" w:rsidRPr="00554A71">
        <w:rPr>
          <w:sz w:val="24"/>
          <w:szCs w:val="24"/>
        </w:rPr>
        <w:t xml:space="preserve"> and average score in 2018 was </w:t>
      </w:r>
      <w:r w:rsidR="00674741" w:rsidRPr="00554A71">
        <w:rPr>
          <w:sz w:val="24"/>
          <w:szCs w:val="24"/>
        </w:rPr>
        <w:t>(</w:t>
      </w:r>
      <w:r w:rsidR="00DA39B2" w:rsidRPr="00554A71">
        <w:rPr>
          <w:b/>
          <w:sz w:val="24"/>
          <w:szCs w:val="24"/>
        </w:rPr>
        <w:t>M=</w:t>
      </w:r>
      <w:r w:rsidR="008F33EC" w:rsidRPr="00554A71">
        <w:rPr>
          <w:b/>
          <w:sz w:val="24"/>
          <w:szCs w:val="24"/>
        </w:rPr>
        <w:t>69.55</w:t>
      </w:r>
      <w:r w:rsidR="00DA39B2" w:rsidRPr="00554A71">
        <w:rPr>
          <w:b/>
          <w:sz w:val="24"/>
          <w:szCs w:val="24"/>
        </w:rPr>
        <w:t>, SD=11.</w:t>
      </w:r>
      <w:r w:rsidR="008F33EC" w:rsidRPr="00554A71">
        <w:rPr>
          <w:b/>
          <w:sz w:val="24"/>
          <w:szCs w:val="24"/>
        </w:rPr>
        <w:t>41</w:t>
      </w:r>
      <w:r w:rsidR="00674741" w:rsidRPr="00554A71">
        <w:rPr>
          <w:b/>
          <w:sz w:val="24"/>
          <w:szCs w:val="24"/>
        </w:rPr>
        <w:t>)</w:t>
      </w:r>
      <w:r w:rsidR="00674741" w:rsidRPr="00554A71">
        <w:rPr>
          <w:sz w:val="24"/>
          <w:szCs w:val="24"/>
        </w:rPr>
        <w:t xml:space="preserve"> </w:t>
      </w:r>
      <w:r w:rsidR="00DA39B2" w:rsidRPr="00554A71">
        <w:rPr>
          <w:sz w:val="24"/>
          <w:szCs w:val="24"/>
        </w:rPr>
        <w:t>respectively.</w:t>
      </w:r>
    </w:p>
    <w:p w14:paraId="6ADA1D30" w14:textId="620C09E9" w:rsidR="00DA39B2" w:rsidRPr="00554A71" w:rsidRDefault="00DA39B2" w:rsidP="002A1EAD">
      <w:pPr>
        <w:rPr>
          <w:sz w:val="24"/>
          <w:szCs w:val="24"/>
        </w:rPr>
      </w:pPr>
      <w:r w:rsidRPr="00554A71">
        <w:rPr>
          <w:sz w:val="24"/>
          <w:szCs w:val="24"/>
        </w:rPr>
        <w:t xml:space="preserve">Using a benchmark score of 70 the analysis reveals that </w:t>
      </w:r>
      <w:r w:rsidR="00674741" w:rsidRPr="00554A71">
        <w:rPr>
          <w:sz w:val="24"/>
          <w:szCs w:val="24"/>
        </w:rPr>
        <w:t>(N=</w:t>
      </w:r>
      <w:r w:rsidRPr="00554A71">
        <w:rPr>
          <w:b/>
          <w:sz w:val="24"/>
          <w:szCs w:val="24"/>
        </w:rPr>
        <w:t>8</w:t>
      </w:r>
      <w:r w:rsidR="00674741" w:rsidRPr="00554A71">
        <w:rPr>
          <w:b/>
          <w:sz w:val="24"/>
          <w:szCs w:val="24"/>
        </w:rPr>
        <w:t xml:space="preserve">; </w:t>
      </w:r>
      <w:r w:rsidR="008274B9" w:rsidRPr="00554A71">
        <w:rPr>
          <w:b/>
          <w:sz w:val="24"/>
          <w:szCs w:val="24"/>
        </w:rPr>
        <w:t>50%) of</w:t>
      </w:r>
      <w:r w:rsidRPr="00554A71">
        <w:rPr>
          <w:b/>
          <w:sz w:val="24"/>
          <w:szCs w:val="24"/>
        </w:rPr>
        <w:t xml:space="preserve"> students</w:t>
      </w:r>
      <w:r w:rsidRPr="00554A71">
        <w:rPr>
          <w:sz w:val="24"/>
          <w:szCs w:val="24"/>
        </w:rPr>
        <w:t xml:space="preserve"> met th</w:t>
      </w:r>
      <w:r w:rsidR="008F33EC" w:rsidRPr="00554A71">
        <w:rPr>
          <w:sz w:val="24"/>
          <w:szCs w:val="24"/>
        </w:rPr>
        <w:t>e benchmark in both 2017 and 201</w:t>
      </w:r>
      <w:r w:rsidR="00AE538A">
        <w:rPr>
          <w:sz w:val="24"/>
          <w:szCs w:val="24"/>
        </w:rPr>
        <w:t>8,</w:t>
      </w:r>
      <w:r w:rsidRPr="00554A71">
        <w:rPr>
          <w:sz w:val="24"/>
          <w:szCs w:val="24"/>
        </w:rPr>
        <w:t xml:space="preserve"> whereas </w:t>
      </w:r>
      <w:r w:rsidR="008274B9" w:rsidRPr="00554A71">
        <w:rPr>
          <w:b/>
          <w:sz w:val="24"/>
          <w:szCs w:val="24"/>
        </w:rPr>
        <w:t>(</w:t>
      </w:r>
      <w:r w:rsidR="00674741" w:rsidRPr="00554A71">
        <w:rPr>
          <w:b/>
          <w:sz w:val="24"/>
          <w:szCs w:val="24"/>
        </w:rPr>
        <w:t xml:space="preserve">N= 8; </w:t>
      </w:r>
      <w:r w:rsidR="008274B9" w:rsidRPr="00554A71">
        <w:rPr>
          <w:b/>
          <w:sz w:val="24"/>
          <w:szCs w:val="24"/>
        </w:rPr>
        <w:t xml:space="preserve">50%) </w:t>
      </w:r>
      <w:r w:rsidR="008274B9" w:rsidRPr="00554A71">
        <w:rPr>
          <w:sz w:val="24"/>
          <w:szCs w:val="24"/>
        </w:rPr>
        <w:t xml:space="preserve">of </w:t>
      </w:r>
      <w:r w:rsidRPr="00554A71">
        <w:rPr>
          <w:sz w:val="24"/>
          <w:szCs w:val="24"/>
        </w:rPr>
        <w:t>students were below the</w:t>
      </w:r>
      <w:r w:rsidR="00A66E58">
        <w:rPr>
          <w:sz w:val="24"/>
          <w:szCs w:val="24"/>
        </w:rPr>
        <w:t xml:space="preserve"> </w:t>
      </w:r>
      <w:r w:rsidRPr="00554A71">
        <w:rPr>
          <w:sz w:val="24"/>
          <w:szCs w:val="24"/>
        </w:rPr>
        <w:t xml:space="preserve">benchmark. The breakdown </w:t>
      </w:r>
      <w:r w:rsidR="008F33EC" w:rsidRPr="00554A71">
        <w:rPr>
          <w:sz w:val="24"/>
          <w:szCs w:val="24"/>
        </w:rPr>
        <w:t xml:space="preserve">in 2018 reveals that only </w:t>
      </w:r>
      <w:r w:rsidR="008274B9" w:rsidRPr="00554A71">
        <w:rPr>
          <w:b/>
          <w:sz w:val="24"/>
          <w:szCs w:val="24"/>
        </w:rPr>
        <w:t>(</w:t>
      </w:r>
      <w:r w:rsidR="00674741" w:rsidRPr="00554A71">
        <w:rPr>
          <w:b/>
          <w:sz w:val="24"/>
          <w:szCs w:val="24"/>
        </w:rPr>
        <w:t xml:space="preserve">N=3; </w:t>
      </w:r>
      <w:r w:rsidR="008274B9" w:rsidRPr="00554A71">
        <w:rPr>
          <w:b/>
          <w:sz w:val="24"/>
          <w:szCs w:val="24"/>
        </w:rPr>
        <w:t>33%)</w:t>
      </w:r>
      <w:r w:rsidR="008F33EC" w:rsidRPr="00554A71">
        <w:rPr>
          <w:sz w:val="24"/>
          <w:szCs w:val="24"/>
        </w:rPr>
        <w:t xml:space="preserve"> students met the benchmark, whereas </w:t>
      </w:r>
      <w:r w:rsidR="008274B9" w:rsidRPr="00554A71">
        <w:rPr>
          <w:b/>
          <w:sz w:val="24"/>
          <w:szCs w:val="24"/>
        </w:rPr>
        <w:t>(</w:t>
      </w:r>
      <w:r w:rsidR="00674741" w:rsidRPr="00554A71">
        <w:rPr>
          <w:b/>
          <w:sz w:val="24"/>
          <w:szCs w:val="24"/>
        </w:rPr>
        <w:t xml:space="preserve">N=6; </w:t>
      </w:r>
      <w:r w:rsidR="008274B9" w:rsidRPr="00554A71">
        <w:rPr>
          <w:b/>
          <w:sz w:val="24"/>
          <w:szCs w:val="24"/>
        </w:rPr>
        <w:t>66%)</w:t>
      </w:r>
      <w:r w:rsidR="008F33EC" w:rsidRPr="00554A71">
        <w:rPr>
          <w:sz w:val="24"/>
          <w:szCs w:val="24"/>
        </w:rPr>
        <w:t xml:space="preserve"> students did not meet the benchmark.  </w:t>
      </w:r>
    </w:p>
    <w:p w14:paraId="4C9E98C6" w14:textId="77777777" w:rsidR="005A68EA" w:rsidRPr="00554A71" w:rsidRDefault="005A68EA" w:rsidP="005A68EA">
      <w:pPr>
        <w:rPr>
          <w:b/>
          <w:sz w:val="24"/>
          <w:szCs w:val="24"/>
        </w:rPr>
      </w:pPr>
    </w:p>
    <w:p w14:paraId="4A0518E5" w14:textId="483AA134" w:rsidR="00F917FD" w:rsidRPr="002B5D31" w:rsidRDefault="00F917FD" w:rsidP="00F917FD">
      <w:pPr>
        <w:rPr>
          <w:b/>
          <w:sz w:val="24"/>
          <w:szCs w:val="24"/>
        </w:rPr>
      </w:pPr>
      <w:r w:rsidRPr="002B5D31">
        <w:rPr>
          <w:b/>
          <w:sz w:val="24"/>
          <w:szCs w:val="24"/>
        </w:rPr>
        <w:t>Status of P</w:t>
      </w:r>
      <w:r w:rsidR="00805DC7">
        <w:rPr>
          <w:b/>
          <w:sz w:val="24"/>
          <w:szCs w:val="24"/>
        </w:rPr>
        <w:t>erformance Target</w:t>
      </w:r>
      <w:r w:rsidRPr="002B5D31">
        <w:rPr>
          <w:b/>
          <w:sz w:val="24"/>
          <w:szCs w:val="24"/>
        </w:rPr>
        <w:t xml:space="preserve">- </w:t>
      </w:r>
      <w:r w:rsidRPr="002B5D31">
        <w:rPr>
          <w:sz w:val="24"/>
          <w:szCs w:val="24"/>
        </w:rPr>
        <w:t>Met</w:t>
      </w:r>
    </w:p>
    <w:p w14:paraId="7B57B1C7" w14:textId="411D3A11" w:rsidR="005A68EA" w:rsidRPr="002B5D31" w:rsidRDefault="00F917FD" w:rsidP="00F917FD">
      <w:pPr>
        <w:rPr>
          <w:sz w:val="24"/>
          <w:szCs w:val="24"/>
        </w:rPr>
      </w:pPr>
      <w:r w:rsidRPr="002B5D31">
        <w:rPr>
          <w:b/>
          <w:sz w:val="24"/>
          <w:szCs w:val="24"/>
        </w:rPr>
        <w:t>Continuous Quality Improvement</w:t>
      </w:r>
      <w:r w:rsidRPr="002B5D31">
        <w:rPr>
          <w:sz w:val="24"/>
          <w:szCs w:val="24"/>
        </w:rPr>
        <w:t>: Faculty meet annually to review student results. Item level analysis is used to make curricular modifications as necessary based on student performance</w:t>
      </w:r>
      <w:r w:rsidR="002B5D31">
        <w:rPr>
          <w:sz w:val="24"/>
          <w:szCs w:val="24"/>
        </w:rPr>
        <w:t>.</w:t>
      </w:r>
    </w:p>
    <w:sectPr w:rsidR="005A68EA" w:rsidRPr="002B5D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946B1" w14:textId="77777777" w:rsidR="00171EE3" w:rsidRDefault="00171EE3" w:rsidP="00171EE3">
      <w:pPr>
        <w:spacing w:after="0" w:line="240" w:lineRule="auto"/>
      </w:pPr>
      <w:r>
        <w:separator/>
      </w:r>
    </w:p>
  </w:endnote>
  <w:endnote w:type="continuationSeparator" w:id="0">
    <w:p w14:paraId="113A9C05" w14:textId="77777777" w:rsidR="00171EE3" w:rsidRDefault="00171EE3" w:rsidP="0017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ABAF8" w14:textId="77777777" w:rsidR="00171EE3" w:rsidRDefault="00171EE3" w:rsidP="00171EE3">
      <w:pPr>
        <w:spacing w:after="0" w:line="240" w:lineRule="auto"/>
      </w:pPr>
      <w:r>
        <w:separator/>
      </w:r>
    </w:p>
  </w:footnote>
  <w:footnote w:type="continuationSeparator" w:id="0">
    <w:p w14:paraId="044E05A4" w14:textId="77777777" w:rsidR="00171EE3" w:rsidRDefault="00171EE3" w:rsidP="00171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8352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32CA19" w14:textId="02A4F339" w:rsidR="00171EE3" w:rsidRDefault="00171EE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E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E84936" w14:textId="77777777" w:rsidR="00171EE3" w:rsidRDefault="00171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18"/>
    <w:rsid w:val="000047C1"/>
    <w:rsid w:val="00010FAE"/>
    <w:rsid w:val="000303DA"/>
    <w:rsid w:val="000628D0"/>
    <w:rsid w:val="00062EE1"/>
    <w:rsid w:val="0009294D"/>
    <w:rsid w:val="000A1E52"/>
    <w:rsid w:val="000B3633"/>
    <w:rsid w:val="000C1848"/>
    <w:rsid w:val="000C48BC"/>
    <w:rsid w:val="00103E80"/>
    <w:rsid w:val="0014271E"/>
    <w:rsid w:val="001501F6"/>
    <w:rsid w:val="00171EE3"/>
    <w:rsid w:val="00196B15"/>
    <w:rsid w:val="001A65C0"/>
    <w:rsid w:val="001F1D39"/>
    <w:rsid w:val="0021311B"/>
    <w:rsid w:val="0022108E"/>
    <w:rsid w:val="00224629"/>
    <w:rsid w:val="00256571"/>
    <w:rsid w:val="00260492"/>
    <w:rsid w:val="00275E07"/>
    <w:rsid w:val="00293E28"/>
    <w:rsid w:val="002A1EAD"/>
    <w:rsid w:val="002B5D31"/>
    <w:rsid w:val="002B7458"/>
    <w:rsid w:val="002C604D"/>
    <w:rsid w:val="002F26D7"/>
    <w:rsid w:val="0030312A"/>
    <w:rsid w:val="00342506"/>
    <w:rsid w:val="003425EC"/>
    <w:rsid w:val="003508B3"/>
    <w:rsid w:val="00351903"/>
    <w:rsid w:val="003617AD"/>
    <w:rsid w:val="003718C7"/>
    <w:rsid w:val="00377A66"/>
    <w:rsid w:val="003803C3"/>
    <w:rsid w:val="003909EE"/>
    <w:rsid w:val="0039265E"/>
    <w:rsid w:val="00397B08"/>
    <w:rsid w:val="003B23F0"/>
    <w:rsid w:val="0040681D"/>
    <w:rsid w:val="00415D74"/>
    <w:rsid w:val="00416001"/>
    <w:rsid w:val="004236AB"/>
    <w:rsid w:val="00447DAE"/>
    <w:rsid w:val="0047423F"/>
    <w:rsid w:val="004927CE"/>
    <w:rsid w:val="00495C5F"/>
    <w:rsid w:val="004A3EA4"/>
    <w:rsid w:val="004C4032"/>
    <w:rsid w:val="004C480B"/>
    <w:rsid w:val="004D0937"/>
    <w:rsid w:val="004D16D1"/>
    <w:rsid w:val="004E2DB3"/>
    <w:rsid w:val="004F10EC"/>
    <w:rsid w:val="004F4C63"/>
    <w:rsid w:val="0051167A"/>
    <w:rsid w:val="00526A57"/>
    <w:rsid w:val="00541CE9"/>
    <w:rsid w:val="005429DB"/>
    <w:rsid w:val="00554A71"/>
    <w:rsid w:val="00595490"/>
    <w:rsid w:val="005A54CC"/>
    <w:rsid w:val="005A68EA"/>
    <w:rsid w:val="005B175A"/>
    <w:rsid w:val="005D5782"/>
    <w:rsid w:val="005D6431"/>
    <w:rsid w:val="005F2417"/>
    <w:rsid w:val="0061257C"/>
    <w:rsid w:val="00616A40"/>
    <w:rsid w:val="006447B3"/>
    <w:rsid w:val="00657D6B"/>
    <w:rsid w:val="00674741"/>
    <w:rsid w:val="00686134"/>
    <w:rsid w:val="00686718"/>
    <w:rsid w:val="0069003D"/>
    <w:rsid w:val="00691410"/>
    <w:rsid w:val="006E0605"/>
    <w:rsid w:val="006E0E79"/>
    <w:rsid w:val="00715E82"/>
    <w:rsid w:val="007222E7"/>
    <w:rsid w:val="0073007D"/>
    <w:rsid w:val="00783463"/>
    <w:rsid w:val="00784FD6"/>
    <w:rsid w:val="00793B1A"/>
    <w:rsid w:val="007A4C85"/>
    <w:rsid w:val="007A6AF2"/>
    <w:rsid w:val="007B7F82"/>
    <w:rsid w:val="007C3D99"/>
    <w:rsid w:val="007C48BC"/>
    <w:rsid w:val="007E6AEA"/>
    <w:rsid w:val="007F2057"/>
    <w:rsid w:val="008047EE"/>
    <w:rsid w:val="00805DC7"/>
    <w:rsid w:val="008274B9"/>
    <w:rsid w:val="00894943"/>
    <w:rsid w:val="008A0399"/>
    <w:rsid w:val="008B03B2"/>
    <w:rsid w:val="008C0433"/>
    <w:rsid w:val="008D7979"/>
    <w:rsid w:val="008F33EC"/>
    <w:rsid w:val="008F41EE"/>
    <w:rsid w:val="008F621E"/>
    <w:rsid w:val="00912F6D"/>
    <w:rsid w:val="009350AD"/>
    <w:rsid w:val="00950604"/>
    <w:rsid w:val="009511CA"/>
    <w:rsid w:val="00960C74"/>
    <w:rsid w:val="00966C2B"/>
    <w:rsid w:val="00987677"/>
    <w:rsid w:val="00993683"/>
    <w:rsid w:val="009970D7"/>
    <w:rsid w:val="009B3AA0"/>
    <w:rsid w:val="009F3394"/>
    <w:rsid w:val="00A17255"/>
    <w:rsid w:val="00A461A7"/>
    <w:rsid w:val="00A66E58"/>
    <w:rsid w:val="00A724D8"/>
    <w:rsid w:val="00A8355B"/>
    <w:rsid w:val="00A84E1B"/>
    <w:rsid w:val="00AA302B"/>
    <w:rsid w:val="00AA4DAA"/>
    <w:rsid w:val="00AC23C6"/>
    <w:rsid w:val="00AE538A"/>
    <w:rsid w:val="00AE7253"/>
    <w:rsid w:val="00AF1863"/>
    <w:rsid w:val="00AF3A03"/>
    <w:rsid w:val="00B2205A"/>
    <w:rsid w:val="00B23D5C"/>
    <w:rsid w:val="00B70D1C"/>
    <w:rsid w:val="00B906FA"/>
    <w:rsid w:val="00BB5E15"/>
    <w:rsid w:val="00BE1E4A"/>
    <w:rsid w:val="00C27CDB"/>
    <w:rsid w:val="00C4529A"/>
    <w:rsid w:val="00C6723F"/>
    <w:rsid w:val="00C820C2"/>
    <w:rsid w:val="00C91B9A"/>
    <w:rsid w:val="00CA5CF0"/>
    <w:rsid w:val="00CB3B6C"/>
    <w:rsid w:val="00CC66A4"/>
    <w:rsid w:val="00CE116E"/>
    <w:rsid w:val="00D10032"/>
    <w:rsid w:val="00D120F1"/>
    <w:rsid w:val="00D715F4"/>
    <w:rsid w:val="00D91E78"/>
    <w:rsid w:val="00DA39B2"/>
    <w:rsid w:val="00E01EAE"/>
    <w:rsid w:val="00E101E7"/>
    <w:rsid w:val="00E16FB4"/>
    <w:rsid w:val="00E31F4A"/>
    <w:rsid w:val="00E563F2"/>
    <w:rsid w:val="00E65E8A"/>
    <w:rsid w:val="00E77030"/>
    <w:rsid w:val="00E87D13"/>
    <w:rsid w:val="00EA3679"/>
    <w:rsid w:val="00EA7E2A"/>
    <w:rsid w:val="00EB1740"/>
    <w:rsid w:val="00ED4260"/>
    <w:rsid w:val="00ED5560"/>
    <w:rsid w:val="00EE4231"/>
    <w:rsid w:val="00EF3C8A"/>
    <w:rsid w:val="00EF74ED"/>
    <w:rsid w:val="00F12E5D"/>
    <w:rsid w:val="00F42CDC"/>
    <w:rsid w:val="00F6110E"/>
    <w:rsid w:val="00F81293"/>
    <w:rsid w:val="00F917FD"/>
    <w:rsid w:val="00FE4848"/>
    <w:rsid w:val="00FE5BD3"/>
    <w:rsid w:val="00FE68AD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97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EE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1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E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Gere</dc:creator>
  <cp:keywords/>
  <dc:description/>
  <cp:lastModifiedBy>Beatrice Porter</cp:lastModifiedBy>
  <cp:revision>2</cp:revision>
  <dcterms:created xsi:type="dcterms:W3CDTF">2020-02-07T20:21:00Z</dcterms:created>
  <dcterms:modified xsi:type="dcterms:W3CDTF">2020-02-07T20:21:00Z</dcterms:modified>
</cp:coreProperties>
</file>