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AD" w:rsidRPr="009511CA" w:rsidRDefault="00EA7E2A" w:rsidP="00EA7E2A">
      <w:pPr>
        <w:jc w:val="center"/>
        <w:rPr>
          <w:b/>
          <w:sz w:val="24"/>
          <w:szCs w:val="24"/>
        </w:rPr>
      </w:pPr>
      <w:r w:rsidRPr="009511CA">
        <w:rPr>
          <w:b/>
          <w:sz w:val="24"/>
          <w:szCs w:val="24"/>
        </w:rPr>
        <w:t xml:space="preserve">Psychology </w:t>
      </w:r>
      <w:r w:rsidR="00674741">
        <w:rPr>
          <w:b/>
          <w:sz w:val="24"/>
          <w:szCs w:val="24"/>
        </w:rPr>
        <w:t>/</w:t>
      </w:r>
      <w:r w:rsidRPr="009511CA">
        <w:rPr>
          <w:b/>
          <w:sz w:val="24"/>
          <w:szCs w:val="24"/>
        </w:rPr>
        <w:t xml:space="preserve">Counseling </w:t>
      </w:r>
      <w:r w:rsidR="00966C2B">
        <w:rPr>
          <w:b/>
          <w:sz w:val="24"/>
          <w:szCs w:val="24"/>
        </w:rPr>
        <w:t>Assessment</w:t>
      </w:r>
      <w:r w:rsidRPr="009511CA">
        <w:rPr>
          <w:b/>
          <w:sz w:val="24"/>
          <w:szCs w:val="24"/>
        </w:rPr>
        <w:t xml:space="preserve"> Data Report</w:t>
      </w:r>
    </w:p>
    <w:p w:rsidR="00EA7E2A" w:rsidRDefault="002456EB" w:rsidP="00EA7E2A">
      <w:pPr>
        <w:jc w:val="center"/>
        <w:rPr>
          <w:b/>
          <w:sz w:val="24"/>
          <w:szCs w:val="24"/>
        </w:rPr>
      </w:pPr>
      <w:r>
        <w:rPr>
          <w:b/>
          <w:sz w:val="24"/>
          <w:szCs w:val="24"/>
        </w:rPr>
        <w:t>Spring 2019</w:t>
      </w:r>
    </w:p>
    <w:p w:rsidR="00EB1740" w:rsidRPr="006C1A5E" w:rsidRDefault="006C1A5E" w:rsidP="006C1A5E">
      <w:pPr>
        <w:jc w:val="center"/>
        <w:rPr>
          <w:i/>
          <w:sz w:val="24"/>
          <w:szCs w:val="24"/>
        </w:rPr>
      </w:pPr>
      <w:r w:rsidRPr="006C1A5E">
        <w:rPr>
          <w:i/>
          <w:sz w:val="24"/>
          <w:szCs w:val="24"/>
        </w:rPr>
        <w:t>(Prepared and Submitted By Dr</w:t>
      </w:r>
      <w:r w:rsidR="0022680D">
        <w:rPr>
          <w:i/>
          <w:sz w:val="24"/>
          <w:szCs w:val="24"/>
        </w:rPr>
        <w:t xml:space="preserve">. Tonya Davis and </w:t>
      </w:r>
      <w:r w:rsidRPr="006C1A5E">
        <w:rPr>
          <w:i/>
          <w:sz w:val="24"/>
          <w:szCs w:val="24"/>
        </w:rPr>
        <w:t>Dr. Bryan Gere (Assessment Committee)</w:t>
      </w:r>
    </w:p>
    <w:p w:rsidR="006C1A5E" w:rsidRDefault="006C1A5E" w:rsidP="00554A71">
      <w:pPr>
        <w:rPr>
          <w:b/>
          <w:sz w:val="24"/>
          <w:szCs w:val="24"/>
        </w:rPr>
      </w:pPr>
    </w:p>
    <w:p w:rsidR="00EA3679" w:rsidRDefault="00EA3679" w:rsidP="00554A71">
      <w:pPr>
        <w:rPr>
          <w:b/>
          <w:sz w:val="24"/>
          <w:szCs w:val="24"/>
        </w:rPr>
      </w:pPr>
      <w:r>
        <w:rPr>
          <w:b/>
          <w:sz w:val="24"/>
          <w:szCs w:val="24"/>
        </w:rPr>
        <w:t>Degree Program: MS, Counseling Psychology</w:t>
      </w:r>
      <w:r w:rsidR="00554A71" w:rsidRPr="009511CA">
        <w:rPr>
          <w:b/>
          <w:sz w:val="24"/>
          <w:szCs w:val="24"/>
        </w:rPr>
        <w:t xml:space="preserve"> </w:t>
      </w:r>
    </w:p>
    <w:p w:rsidR="00554A71" w:rsidRPr="009511CA" w:rsidRDefault="00EA3679" w:rsidP="00554A71">
      <w:pPr>
        <w:rPr>
          <w:sz w:val="24"/>
          <w:szCs w:val="24"/>
        </w:rPr>
      </w:pPr>
      <w:r w:rsidRPr="00EA3679">
        <w:rPr>
          <w:b/>
          <w:sz w:val="24"/>
          <w:szCs w:val="24"/>
        </w:rPr>
        <w:t>Performance Target</w:t>
      </w:r>
      <w:r w:rsidR="008F41EE">
        <w:rPr>
          <w:b/>
          <w:sz w:val="24"/>
          <w:szCs w:val="24"/>
        </w:rPr>
        <w:t>#1</w:t>
      </w:r>
      <w:r w:rsidRPr="00EA3679">
        <w:rPr>
          <w:b/>
          <w:sz w:val="24"/>
          <w:szCs w:val="24"/>
        </w:rPr>
        <w:t>:</w:t>
      </w:r>
      <w:r>
        <w:rPr>
          <w:sz w:val="24"/>
          <w:szCs w:val="24"/>
        </w:rPr>
        <w:t xml:space="preserve"> Sixty-</w:t>
      </w:r>
      <w:r w:rsidR="00554A71" w:rsidRPr="009511CA">
        <w:rPr>
          <w:sz w:val="24"/>
          <w:szCs w:val="24"/>
        </w:rPr>
        <w:t>percent of students taking the</w:t>
      </w:r>
      <w:r w:rsidR="00554A71">
        <w:rPr>
          <w:sz w:val="24"/>
          <w:szCs w:val="24"/>
        </w:rPr>
        <w:t xml:space="preserve"> </w:t>
      </w:r>
      <w:r w:rsidR="00F6110E">
        <w:rPr>
          <w:sz w:val="24"/>
          <w:szCs w:val="24"/>
        </w:rPr>
        <w:t xml:space="preserve">Core section of the </w:t>
      </w:r>
      <w:r w:rsidR="00E87D13">
        <w:rPr>
          <w:sz w:val="24"/>
          <w:szCs w:val="24"/>
        </w:rPr>
        <w:t>Comprehensive Examina</w:t>
      </w:r>
      <w:r w:rsidR="009970D7">
        <w:rPr>
          <w:sz w:val="24"/>
          <w:szCs w:val="24"/>
        </w:rPr>
        <w:t xml:space="preserve">tion </w:t>
      </w:r>
      <w:r w:rsidR="00554A71" w:rsidRPr="009511CA">
        <w:rPr>
          <w:sz w:val="24"/>
          <w:szCs w:val="24"/>
        </w:rPr>
        <w:t xml:space="preserve">will achieve a </w:t>
      </w:r>
      <w:r w:rsidR="009970D7">
        <w:rPr>
          <w:sz w:val="24"/>
          <w:szCs w:val="24"/>
        </w:rPr>
        <w:t xml:space="preserve">score of </w:t>
      </w:r>
      <w:r w:rsidR="00554A71">
        <w:rPr>
          <w:sz w:val="24"/>
          <w:szCs w:val="24"/>
        </w:rPr>
        <w:t>70%</w:t>
      </w:r>
      <w:r w:rsidR="00554A71" w:rsidRPr="009511CA">
        <w:rPr>
          <w:sz w:val="24"/>
          <w:szCs w:val="24"/>
        </w:rPr>
        <w:t xml:space="preserve"> or be</w:t>
      </w:r>
      <w:r w:rsidR="009970D7">
        <w:rPr>
          <w:sz w:val="24"/>
          <w:szCs w:val="24"/>
        </w:rPr>
        <w:t>tter.</w:t>
      </w:r>
    </w:p>
    <w:p w:rsidR="00EA3679" w:rsidRDefault="00554A71" w:rsidP="006C1A5E">
      <w:pPr>
        <w:spacing w:line="240" w:lineRule="auto"/>
        <w:rPr>
          <w:sz w:val="24"/>
          <w:szCs w:val="24"/>
        </w:rPr>
      </w:pPr>
      <w:r w:rsidRPr="009511CA">
        <w:rPr>
          <w:b/>
          <w:sz w:val="24"/>
          <w:szCs w:val="24"/>
        </w:rPr>
        <w:t xml:space="preserve">Direct Assessment Measure- </w:t>
      </w:r>
      <w:r w:rsidR="00EA3679">
        <w:rPr>
          <w:sz w:val="24"/>
          <w:szCs w:val="24"/>
        </w:rPr>
        <w:t>The</w:t>
      </w:r>
      <w:r w:rsidRPr="009511CA">
        <w:rPr>
          <w:sz w:val="24"/>
          <w:szCs w:val="24"/>
        </w:rPr>
        <w:t xml:space="preserve"> </w:t>
      </w:r>
      <w:r w:rsidR="003803C3">
        <w:rPr>
          <w:sz w:val="24"/>
          <w:szCs w:val="24"/>
        </w:rPr>
        <w:t>Graduate Comprehensive Examination is a 250</w:t>
      </w:r>
      <w:r w:rsidR="00EA3679">
        <w:rPr>
          <w:sz w:val="24"/>
          <w:szCs w:val="24"/>
        </w:rPr>
        <w:t>-</w:t>
      </w:r>
      <w:r w:rsidR="009350AD">
        <w:rPr>
          <w:sz w:val="24"/>
          <w:szCs w:val="24"/>
        </w:rPr>
        <w:t>i</w:t>
      </w:r>
      <w:r w:rsidR="003803C3">
        <w:rPr>
          <w:sz w:val="24"/>
          <w:szCs w:val="24"/>
        </w:rPr>
        <w:t>tem assessment designed to measure student knowledge</w:t>
      </w:r>
      <w:r w:rsidR="009350AD">
        <w:rPr>
          <w:sz w:val="24"/>
          <w:szCs w:val="24"/>
        </w:rPr>
        <w:t xml:space="preserve"> across </w:t>
      </w:r>
      <w:r w:rsidR="00EA3679">
        <w:rPr>
          <w:sz w:val="24"/>
          <w:szCs w:val="24"/>
        </w:rPr>
        <w:t>8</w:t>
      </w:r>
      <w:r w:rsidR="00293E28">
        <w:rPr>
          <w:sz w:val="24"/>
          <w:szCs w:val="24"/>
        </w:rPr>
        <w:t xml:space="preserve"> </w:t>
      </w:r>
      <w:r w:rsidR="003803C3">
        <w:rPr>
          <w:sz w:val="24"/>
          <w:szCs w:val="24"/>
        </w:rPr>
        <w:t>domains (Core)</w:t>
      </w:r>
      <w:r w:rsidR="00EA3679">
        <w:rPr>
          <w:sz w:val="24"/>
          <w:szCs w:val="24"/>
        </w:rPr>
        <w:t xml:space="preserve"> as well as the acquisition of specialized knowledge (Concentration). This exam</w:t>
      </w:r>
      <w:r w:rsidR="003803C3">
        <w:rPr>
          <w:sz w:val="24"/>
          <w:szCs w:val="24"/>
        </w:rPr>
        <w:t xml:space="preserve"> </w:t>
      </w:r>
      <w:r w:rsidRPr="009511CA">
        <w:rPr>
          <w:sz w:val="24"/>
          <w:szCs w:val="24"/>
        </w:rPr>
        <w:t xml:space="preserve">is offered once during the </w:t>
      </w:r>
      <w:r>
        <w:rPr>
          <w:sz w:val="24"/>
          <w:szCs w:val="24"/>
        </w:rPr>
        <w:t>semester. Students are eligible to sit for the exam after completing at least 30 hours of course work and advisor approval.</w:t>
      </w:r>
    </w:p>
    <w:p w:rsidR="00EA65A1" w:rsidRDefault="00224629" w:rsidP="00554A71">
      <w:pPr>
        <w:rPr>
          <w:b/>
          <w:sz w:val="24"/>
          <w:szCs w:val="24"/>
        </w:rPr>
      </w:pPr>
      <w:r>
        <w:rPr>
          <w:b/>
          <w:sz w:val="24"/>
          <w:szCs w:val="24"/>
        </w:rPr>
        <w:t xml:space="preserve">Table 1. </w:t>
      </w:r>
      <w:r w:rsidR="00EA3679" w:rsidRPr="00EA3679">
        <w:rPr>
          <w:b/>
          <w:sz w:val="24"/>
          <w:szCs w:val="24"/>
        </w:rPr>
        <w:t>Summary of Overall Performance</w:t>
      </w:r>
      <w:r w:rsidR="00415D74">
        <w:rPr>
          <w:b/>
          <w:sz w:val="24"/>
          <w:szCs w:val="24"/>
        </w:rPr>
        <w:t xml:space="preserve"> of Candidates for </w:t>
      </w:r>
      <w:r w:rsidR="00263D19">
        <w:rPr>
          <w:b/>
          <w:sz w:val="24"/>
          <w:szCs w:val="24"/>
        </w:rPr>
        <w:t xml:space="preserve">Spring </w:t>
      </w:r>
      <w:r w:rsidR="00415D74">
        <w:rPr>
          <w:b/>
          <w:sz w:val="24"/>
          <w:szCs w:val="24"/>
        </w:rPr>
        <w:t>201</w:t>
      </w:r>
      <w:r w:rsidR="00263D19">
        <w:rPr>
          <w:b/>
          <w:sz w:val="24"/>
          <w:szCs w:val="24"/>
        </w:rPr>
        <w:t>9</w:t>
      </w:r>
    </w:p>
    <w:p w:rsidR="00554A71" w:rsidRPr="00EA3679" w:rsidRDefault="0022680D" w:rsidP="00554A71">
      <w:pPr>
        <w:rPr>
          <w:b/>
          <w:noProof/>
        </w:rPr>
      </w:pPr>
      <w:r w:rsidRPr="007222E7">
        <w:rPr>
          <w:b/>
          <w:noProof/>
        </w:rPr>
        <w:drawing>
          <wp:anchor distT="0" distB="0" distL="114300" distR="114300" simplePos="0" relativeHeight="251658240" behindDoc="0" locked="0" layoutInCell="1" allowOverlap="1" wp14:anchorId="0D3CEEEF" wp14:editId="39FA9FD2">
            <wp:simplePos x="0" y="0"/>
            <wp:positionH relativeFrom="column">
              <wp:align>left</wp:align>
            </wp:positionH>
            <wp:positionV relativeFrom="paragraph">
              <wp:align>top</wp:align>
            </wp:positionV>
            <wp:extent cx="5537835" cy="2539365"/>
            <wp:effectExtent l="0" t="0" r="24765" b="635"/>
            <wp:wrapSquare wrapText="bothSides"/>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554A71" w:rsidRPr="00EA3679">
        <w:rPr>
          <w:b/>
          <w:vanish/>
          <w:sz w:val="24"/>
          <w:szCs w:val="24"/>
        </w:rPr>
        <w:t>tions as ne</w:t>
      </w:r>
    </w:p>
    <w:p w:rsidR="00894943" w:rsidRPr="00E101E7" w:rsidRDefault="00E101E7" w:rsidP="00E101E7">
      <w:pPr>
        <w:rPr>
          <w:b/>
          <w:sz w:val="24"/>
          <w:szCs w:val="24"/>
        </w:rPr>
      </w:pPr>
      <w:r>
        <w:rPr>
          <w:b/>
          <w:sz w:val="24"/>
          <w:szCs w:val="24"/>
        </w:rPr>
        <w:br w:type="textWrapping" w:clear="all"/>
      </w:r>
      <w:bookmarkStart w:id="0" w:name="_Hlk536360222"/>
      <w:bookmarkStart w:id="1" w:name="_Hlk536634979"/>
    </w:p>
    <w:bookmarkEnd w:id="0"/>
    <w:bookmarkEnd w:id="1"/>
    <w:p w:rsidR="00263D19" w:rsidRPr="000C51A3" w:rsidRDefault="00263D19" w:rsidP="00263D19">
      <w:pPr>
        <w:rPr>
          <w:b/>
          <w:color w:val="000000"/>
          <w:sz w:val="24"/>
          <w:szCs w:val="24"/>
        </w:rPr>
      </w:pPr>
      <w:r w:rsidRPr="000C51A3">
        <w:rPr>
          <w:color w:val="000000"/>
          <w:sz w:val="24"/>
          <w:szCs w:val="24"/>
        </w:rPr>
        <w:t xml:space="preserve">Descriptive statistics were conducted to assess the performance of students on the Core section of the Spring 2019 Comprehensive Examination.  The </w:t>
      </w:r>
      <w:r w:rsidRPr="000C51A3">
        <w:rPr>
          <w:i/>
          <w:color w:val="000000"/>
          <w:sz w:val="24"/>
          <w:szCs w:val="24"/>
        </w:rPr>
        <w:t>summary statistics</w:t>
      </w:r>
      <w:r w:rsidRPr="000C51A3">
        <w:rPr>
          <w:color w:val="000000"/>
          <w:sz w:val="24"/>
          <w:szCs w:val="24"/>
        </w:rPr>
        <w:t xml:space="preserve"> generated by the data is shown in Table 2 above. The analysis revealed that a total of 20 students took the Core section of the examination in Spring 2019</w:t>
      </w:r>
      <w:r w:rsidR="005F6275" w:rsidRPr="000C51A3">
        <w:rPr>
          <w:color w:val="000000"/>
          <w:sz w:val="24"/>
          <w:szCs w:val="24"/>
        </w:rPr>
        <w:t xml:space="preserve">. </w:t>
      </w:r>
      <w:r w:rsidRPr="000C51A3">
        <w:rPr>
          <w:color w:val="000000"/>
          <w:sz w:val="24"/>
          <w:szCs w:val="24"/>
        </w:rPr>
        <w:t xml:space="preserve">Using a </w:t>
      </w:r>
      <w:r w:rsidRPr="000C51A3">
        <w:rPr>
          <w:b/>
          <w:color w:val="000000"/>
          <w:sz w:val="24"/>
          <w:szCs w:val="24"/>
        </w:rPr>
        <w:t>benchmark score of 70</w:t>
      </w:r>
      <w:r w:rsidRPr="000C51A3">
        <w:rPr>
          <w:color w:val="000000"/>
          <w:sz w:val="24"/>
          <w:szCs w:val="24"/>
        </w:rPr>
        <w:t xml:space="preserve"> the analysis reveals that </w:t>
      </w:r>
      <w:r w:rsidRPr="000C51A3">
        <w:rPr>
          <w:b/>
          <w:color w:val="000000"/>
          <w:sz w:val="24"/>
          <w:szCs w:val="24"/>
        </w:rPr>
        <w:t xml:space="preserve">12 out of 20 or (60%) of the students met the benchmark, whereas 8 of 20 or (40%) of the students were below the benchmark. </w:t>
      </w:r>
    </w:p>
    <w:p w:rsidR="008A7604" w:rsidRDefault="008A7604" w:rsidP="00263D19">
      <w:pPr>
        <w:rPr>
          <w:b/>
          <w:color w:val="000000"/>
          <w:sz w:val="24"/>
          <w:szCs w:val="24"/>
        </w:rPr>
      </w:pPr>
    </w:p>
    <w:p w:rsidR="00F5080E" w:rsidRPr="000C51A3" w:rsidRDefault="00F5080E" w:rsidP="00263D19">
      <w:pPr>
        <w:rPr>
          <w:b/>
          <w:color w:val="000000"/>
          <w:sz w:val="24"/>
          <w:szCs w:val="24"/>
        </w:rPr>
      </w:pPr>
    </w:p>
    <w:p w:rsidR="005F6275" w:rsidRPr="000C51A3" w:rsidRDefault="005F6275" w:rsidP="00263D19">
      <w:pPr>
        <w:rPr>
          <w:b/>
          <w:color w:val="000000"/>
          <w:sz w:val="24"/>
          <w:szCs w:val="24"/>
        </w:rPr>
      </w:pPr>
    </w:p>
    <w:p w:rsidR="00EA65A1" w:rsidRDefault="005F6275" w:rsidP="008A7604">
      <w:pPr>
        <w:spacing w:after="0" w:line="360" w:lineRule="auto"/>
        <w:contextualSpacing/>
        <w:rPr>
          <w:b/>
          <w:i/>
          <w:sz w:val="24"/>
          <w:szCs w:val="24"/>
        </w:rPr>
      </w:pPr>
      <w:r>
        <w:rPr>
          <w:b/>
          <w:sz w:val="24"/>
          <w:szCs w:val="24"/>
        </w:rPr>
        <w:t xml:space="preserve">Table 2: </w:t>
      </w:r>
      <w:r w:rsidR="008A7604" w:rsidRPr="000628D0">
        <w:rPr>
          <w:b/>
          <w:sz w:val="24"/>
          <w:szCs w:val="24"/>
        </w:rPr>
        <w:t xml:space="preserve">Graduate </w:t>
      </w:r>
      <w:r w:rsidR="008A7604" w:rsidRPr="0022680D">
        <w:rPr>
          <w:b/>
          <w:color w:val="C00000"/>
          <w:sz w:val="24"/>
          <w:szCs w:val="24"/>
        </w:rPr>
        <w:t xml:space="preserve">- Core Section Exam Passage </w:t>
      </w:r>
      <w:r w:rsidR="008A7604" w:rsidRPr="0022680D">
        <w:rPr>
          <w:b/>
          <w:i/>
          <w:color w:val="C00000"/>
          <w:sz w:val="24"/>
          <w:szCs w:val="24"/>
        </w:rPr>
        <w:t>Rate</w:t>
      </w:r>
      <w:r w:rsidR="0022680D">
        <w:rPr>
          <w:b/>
          <w:i/>
          <w:color w:val="C00000"/>
          <w:sz w:val="24"/>
          <w:szCs w:val="24"/>
        </w:rPr>
        <w:t xml:space="preserve"> </w:t>
      </w:r>
      <w:r w:rsidR="0022680D" w:rsidRPr="0022680D">
        <w:rPr>
          <w:b/>
          <w:i/>
          <w:color w:val="000000" w:themeColor="text1"/>
          <w:sz w:val="24"/>
          <w:szCs w:val="24"/>
        </w:rPr>
        <w:t>(Spring</w:t>
      </w:r>
      <w:r w:rsidR="008A7604" w:rsidRPr="0022680D">
        <w:rPr>
          <w:b/>
          <w:i/>
          <w:color w:val="000000" w:themeColor="text1"/>
          <w:sz w:val="24"/>
          <w:szCs w:val="24"/>
        </w:rPr>
        <w:t xml:space="preserve"> </w:t>
      </w:r>
      <w:r w:rsidR="008A7604">
        <w:rPr>
          <w:b/>
          <w:sz w:val="24"/>
          <w:szCs w:val="24"/>
        </w:rPr>
        <w:t>2019</w:t>
      </w:r>
      <w:r w:rsidR="0022680D">
        <w:rPr>
          <w:b/>
          <w:sz w:val="24"/>
          <w:szCs w:val="24"/>
        </w:rPr>
        <w:t>)</w:t>
      </w:r>
      <w:r w:rsidR="008A7604" w:rsidRPr="000628D0">
        <w:rPr>
          <w:b/>
          <w:sz w:val="24"/>
          <w:szCs w:val="24"/>
        </w:rPr>
        <w:t xml:space="preserve"> </w:t>
      </w:r>
      <w:r w:rsidR="008A7604" w:rsidRPr="000628D0">
        <w:rPr>
          <w:b/>
          <w:i/>
          <w:sz w:val="24"/>
          <w:szCs w:val="24"/>
        </w:rPr>
        <w:t>By Concentration</w:t>
      </w:r>
      <w:r w:rsidR="008A7604">
        <w:rPr>
          <w:b/>
          <w:i/>
          <w:sz w:val="24"/>
          <w:szCs w:val="24"/>
        </w:rPr>
        <w:t xml:space="preserve"> N= 20</w:t>
      </w:r>
    </w:p>
    <w:p w:rsidR="0022680D" w:rsidRPr="0022680D" w:rsidRDefault="0022680D" w:rsidP="008A7604">
      <w:pPr>
        <w:spacing w:after="0" w:line="360" w:lineRule="auto"/>
        <w:contextualSpacing/>
        <w:rPr>
          <w:b/>
          <w:i/>
          <w:sz w:val="24"/>
          <w:szCs w:val="24"/>
        </w:rPr>
      </w:pPr>
    </w:p>
    <w:tbl>
      <w:tblPr>
        <w:tblStyle w:val="GridTable5Dark-Accent5"/>
        <w:tblW w:w="8896" w:type="dxa"/>
        <w:tblLayout w:type="fixed"/>
        <w:tblLook w:val="0000" w:firstRow="0" w:lastRow="0" w:firstColumn="0" w:lastColumn="0" w:noHBand="0" w:noVBand="0"/>
      </w:tblPr>
      <w:tblGrid>
        <w:gridCol w:w="2915"/>
        <w:gridCol w:w="1757"/>
        <w:gridCol w:w="1758"/>
        <w:gridCol w:w="2466"/>
      </w:tblGrid>
      <w:tr w:rsidR="00EA65A1" w:rsidRPr="00EA65A1" w:rsidTr="00EA65A1">
        <w:trPr>
          <w:cnfStyle w:val="000000100000" w:firstRow="0" w:lastRow="0" w:firstColumn="0" w:lastColumn="0" w:oddVBand="0" w:evenVBand="0" w:oddHBand="1" w:evenHBand="0" w:firstRowFirstColumn="0" w:firstRowLastColumn="0" w:lastRowFirstColumn="0" w:lastRowLastColumn="0"/>
          <w:trHeight w:val="628"/>
        </w:trPr>
        <w:tc>
          <w:tcPr>
            <w:cnfStyle w:val="000010000000" w:firstRow="0" w:lastRow="0" w:firstColumn="0" w:lastColumn="0" w:oddVBand="1" w:evenVBand="0" w:oddHBand="0" w:evenHBand="0" w:firstRowFirstColumn="0" w:firstRowLastColumn="0" w:lastRowFirstColumn="0" w:lastRowLastColumn="0"/>
            <w:tcW w:w="2915" w:type="dxa"/>
          </w:tcPr>
          <w:p w:rsidR="005F6275" w:rsidRPr="00EA65A1" w:rsidRDefault="005F6275" w:rsidP="0022680D">
            <w:pPr>
              <w:autoSpaceDE w:val="0"/>
              <w:autoSpaceDN w:val="0"/>
              <w:adjustRightInd w:val="0"/>
              <w:spacing w:after="0" w:line="240" w:lineRule="auto"/>
              <w:rPr>
                <w:rFonts w:asciiTheme="minorHAnsi" w:hAnsiTheme="minorHAnsi"/>
                <w:b/>
                <w:sz w:val="24"/>
                <w:szCs w:val="24"/>
              </w:rPr>
            </w:pPr>
            <w:r w:rsidRPr="00EA65A1">
              <w:rPr>
                <w:rFonts w:asciiTheme="minorHAnsi" w:hAnsiTheme="minorHAnsi"/>
                <w:b/>
                <w:sz w:val="24"/>
                <w:szCs w:val="24"/>
              </w:rPr>
              <w:t>Program Area</w:t>
            </w:r>
          </w:p>
        </w:tc>
        <w:tc>
          <w:tcPr>
            <w:tcW w:w="1757" w:type="dxa"/>
          </w:tcPr>
          <w:p w:rsidR="005F6275" w:rsidRPr="00EA65A1" w:rsidRDefault="005F6275" w:rsidP="005F6275">
            <w:pPr>
              <w:autoSpaceDE w:val="0"/>
              <w:autoSpaceDN w:val="0"/>
              <w:adjustRightInd w:val="0"/>
              <w:spacing w:after="0"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264A60"/>
                <w:sz w:val="24"/>
                <w:szCs w:val="24"/>
              </w:rPr>
            </w:pPr>
            <w:r w:rsidRPr="00EA65A1">
              <w:rPr>
                <w:rFonts w:asciiTheme="minorHAnsi" w:hAnsiTheme="minorHAnsi"/>
                <w:b/>
                <w:color w:val="264A60"/>
                <w:sz w:val="24"/>
                <w:szCs w:val="24"/>
              </w:rPr>
              <w:t>N</w:t>
            </w:r>
          </w:p>
        </w:tc>
        <w:tc>
          <w:tcPr>
            <w:cnfStyle w:val="000010000000" w:firstRow="0" w:lastRow="0" w:firstColumn="0" w:lastColumn="0" w:oddVBand="1" w:evenVBand="0" w:oddHBand="0" w:evenHBand="0" w:firstRowFirstColumn="0" w:firstRowLastColumn="0" w:lastRowFirstColumn="0" w:lastRowLastColumn="0"/>
            <w:tcW w:w="1758" w:type="dxa"/>
          </w:tcPr>
          <w:p w:rsidR="005F6275" w:rsidRPr="00EA65A1" w:rsidRDefault="005F6275" w:rsidP="005F6275">
            <w:pPr>
              <w:autoSpaceDE w:val="0"/>
              <w:autoSpaceDN w:val="0"/>
              <w:adjustRightInd w:val="0"/>
              <w:spacing w:after="0" w:line="320" w:lineRule="atLeast"/>
              <w:ind w:left="60" w:right="60"/>
              <w:jc w:val="center"/>
              <w:rPr>
                <w:rFonts w:asciiTheme="minorHAnsi" w:hAnsiTheme="minorHAnsi"/>
                <w:b/>
                <w:color w:val="264A60"/>
                <w:sz w:val="24"/>
                <w:szCs w:val="24"/>
              </w:rPr>
            </w:pPr>
            <w:r w:rsidRPr="00EA65A1">
              <w:rPr>
                <w:rFonts w:asciiTheme="minorHAnsi" w:hAnsiTheme="minorHAnsi"/>
                <w:b/>
                <w:color w:val="264A60"/>
                <w:sz w:val="24"/>
                <w:szCs w:val="24"/>
              </w:rPr>
              <w:t>Mean</w:t>
            </w:r>
          </w:p>
        </w:tc>
        <w:tc>
          <w:tcPr>
            <w:tcW w:w="2466" w:type="dxa"/>
          </w:tcPr>
          <w:p w:rsidR="005F6275" w:rsidRDefault="005F6275" w:rsidP="005F6275">
            <w:pPr>
              <w:autoSpaceDE w:val="0"/>
              <w:autoSpaceDN w:val="0"/>
              <w:adjustRightInd w:val="0"/>
              <w:spacing w:after="0"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264A60"/>
                <w:sz w:val="24"/>
                <w:szCs w:val="24"/>
              </w:rPr>
            </w:pPr>
            <w:r w:rsidRPr="00EA65A1">
              <w:rPr>
                <w:rFonts w:asciiTheme="minorHAnsi" w:hAnsiTheme="minorHAnsi"/>
                <w:b/>
                <w:color w:val="264A60"/>
                <w:sz w:val="24"/>
                <w:szCs w:val="24"/>
              </w:rPr>
              <w:t>Std. Deviation</w:t>
            </w:r>
          </w:p>
          <w:p w:rsidR="00EA65A1" w:rsidRPr="00EA65A1" w:rsidRDefault="00EA65A1" w:rsidP="005F6275">
            <w:pPr>
              <w:autoSpaceDE w:val="0"/>
              <w:autoSpaceDN w:val="0"/>
              <w:adjustRightInd w:val="0"/>
              <w:spacing w:after="0"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264A60"/>
                <w:sz w:val="24"/>
                <w:szCs w:val="24"/>
              </w:rPr>
            </w:pPr>
          </w:p>
        </w:tc>
      </w:tr>
      <w:tr w:rsidR="00EA65A1" w:rsidRPr="00EA65A1" w:rsidTr="00EA65A1">
        <w:trPr>
          <w:trHeight w:val="657"/>
        </w:trPr>
        <w:tc>
          <w:tcPr>
            <w:cnfStyle w:val="000010000000" w:firstRow="0" w:lastRow="0" w:firstColumn="0" w:lastColumn="0" w:oddVBand="1" w:evenVBand="0" w:oddHBand="0" w:evenHBand="0" w:firstRowFirstColumn="0" w:firstRowLastColumn="0" w:lastRowFirstColumn="0" w:lastRowLastColumn="0"/>
            <w:tcW w:w="2915" w:type="dxa"/>
          </w:tcPr>
          <w:p w:rsidR="005F6275" w:rsidRPr="00EA65A1" w:rsidRDefault="005F6275" w:rsidP="0022680D">
            <w:pPr>
              <w:autoSpaceDE w:val="0"/>
              <w:autoSpaceDN w:val="0"/>
              <w:adjustRightInd w:val="0"/>
              <w:spacing w:after="0" w:line="320" w:lineRule="atLeast"/>
              <w:ind w:left="60" w:right="60"/>
              <w:rPr>
                <w:rFonts w:asciiTheme="minorHAnsi" w:hAnsiTheme="minorHAnsi"/>
                <w:color w:val="000000" w:themeColor="text1"/>
                <w:sz w:val="24"/>
                <w:szCs w:val="24"/>
              </w:rPr>
            </w:pPr>
            <w:r w:rsidRPr="00EA65A1">
              <w:rPr>
                <w:rFonts w:asciiTheme="minorHAnsi" w:hAnsiTheme="minorHAnsi"/>
                <w:color w:val="000000" w:themeColor="text1"/>
                <w:sz w:val="24"/>
                <w:szCs w:val="24"/>
              </w:rPr>
              <w:t>Rehabilitation Core</w:t>
            </w:r>
          </w:p>
        </w:tc>
        <w:tc>
          <w:tcPr>
            <w:tcW w:w="1757" w:type="dxa"/>
          </w:tcPr>
          <w:p w:rsidR="005F6275" w:rsidRPr="00EA65A1" w:rsidRDefault="005F6275" w:rsidP="005F6275">
            <w:pPr>
              <w:autoSpaceDE w:val="0"/>
              <w:autoSpaceDN w:val="0"/>
              <w:adjustRightInd w:val="0"/>
              <w:spacing w:after="0"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4"/>
                <w:szCs w:val="24"/>
              </w:rPr>
            </w:pPr>
            <w:r w:rsidRPr="00EA65A1">
              <w:rPr>
                <w:rFonts w:asciiTheme="minorHAnsi" w:hAnsiTheme="minorHAnsi"/>
                <w:color w:val="000000" w:themeColor="text1"/>
                <w:sz w:val="24"/>
                <w:szCs w:val="24"/>
              </w:rPr>
              <w:t>8</w:t>
            </w:r>
          </w:p>
        </w:tc>
        <w:tc>
          <w:tcPr>
            <w:cnfStyle w:val="000010000000" w:firstRow="0" w:lastRow="0" w:firstColumn="0" w:lastColumn="0" w:oddVBand="1" w:evenVBand="0" w:oddHBand="0" w:evenHBand="0" w:firstRowFirstColumn="0" w:firstRowLastColumn="0" w:lastRowFirstColumn="0" w:lastRowLastColumn="0"/>
            <w:tcW w:w="1758" w:type="dxa"/>
          </w:tcPr>
          <w:p w:rsidR="005F6275" w:rsidRPr="00EA65A1" w:rsidRDefault="005F6275" w:rsidP="005F6275">
            <w:pPr>
              <w:autoSpaceDE w:val="0"/>
              <w:autoSpaceDN w:val="0"/>
              <w:adjustRightInd w:val="0"/>
              <w:spacing w:after="0" w:line="320" w:lineRule="atLeast"/>
              <w:ind w:left="60" w:right="60"/>
              <w:jc w:val="center"/>
              <w:rPr>
                <w:rFonts w:asciiTheme="minorHAnsi" w:hAnsiTheme="minorHAnsi"/>
                <w:color w:val="000000" w:themeColor="text1"/>
                <w:sz w:val="24"/>
                <w:szCs w:val="24"/>
              </w:rPr>
            </w:pPr>
            <w:r w:rsidRPr="00EA65A1">
              <w:rPr>
                <w:rFonts w:asciiTheme="minorHAnsi" w:hAnsiTheme="minorHAnsi"/>
                <w:color w:val="000000" w:themeColor="text1"/>
                <w:sz w:val="24"/>
                <w:szCs w:val="24"/>
              </w:rPr>
              <w:t>60.5000</w:t>
            </w:r>
          </w:p>
        </w:tc>
        <w:tc>
          <w:tcPr>
            <w:tcW w:w="2466" w:type="dxa"/>
          </w:tcPr>
          <w:p w:rsidR="005F6275" w:rsidRPr="00EA65A1" w:rsidRDefault="005F6275" w:rsidP="005F6275">
            <w:pPr>
              <w:autoSpaceDE w:val="0"/>
              <w:autoSpaceDN w:val="0"/>
              <w:adjustRightInd w:val="0"/>
              <w:spacing w:after="0"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4"/>
                <w:szCs w:val="24"/>
              </w:rPr>
            </w:pPr>
            <w:r w:rsidRPr="00EA65A1">
              <w:rPr>
                <w:rFonts w:asciiTheme="minorHAnsi" w:hAnsiTheme="minorHAnsi"/>
                <w:color w:val="000000" w:themeColor="text1"/>
                <w:sz w:val="24"/>
                <w:szCs w:val="24"/>
              </w:rPr>
              <w:t>12.22410</w:t>
            </w:r>
          </w:p>
        </w:tc>
      </w:tr>
      <w:tr w:rsidR="00EA65A1" w:rsidRPr="00EA65A1" w:rsidTr="00EA65A1">
        <w:trPr>
          <w:cnfStyle w:val="000000100000" w:firstRow="0" w:lastRow="0" w:firstColumn="0" w:lastColumn="0" w:oddVBand="0" w:evenVBand="0" w:oddHBand="1" w:evenHBand="0" w:firstRowFirstColumn="0" w:firstRowLastColumn="0" w:lastRowFirstColumn="0" w:lastRowLastColumn="0"/>
          <w:trHeight w:val="628"/>
        </w:trPr>
        <w:tc>
          <w:tcPr>
            <w:cnfStyle w:val="000010000000" w:firstRow="0" w:lastRow="0" w:firstColumn="0" w:lastColumn="0" w:oddVBand="1" w:evenVBand="0" w:oddHBand="0" w:evenHBand="0" w:firstRowFirstColumn="0" w:firstRowLastColumn="0" w:lastRowFirstColumn="0" w:lastRowLastColumn="0"/>
            <w:tcW w:w="2915" w:type="dxa"/>
          </w:tcPr>
          <w:p w:rsidR="005F6275" w:rsidRPr="00EA65A1" w:rsidRDefault="005F6275" w:rsidP="0022680D">
            <w:pPr>
              <w:autoSpaceDE w:val="0"/>
              <w:autoSpaceDN w:val="0"/>
              <w:adjustRightInd w:val="0"/>
              <w:spacing w:after="0" w:line="320" w:lineRule="atLeast"/>
              <w:ind w:left="60" w:right="60"/>
              <w:rPr>
                <w:rFonts w:asciiTheme="minorHAnsi" w:hAnsiTheme="minorHAnsi"/>
                <w:color w:val="000000" w:themeColor="text1"/>
                <w:sz w:val="24"/>
                <w:szCs w:val="24"/>
              </w:rPr>
            </w:pPr>
            <w:r w:rsidRPr="00EA65A1">
              <w:rPr>
                <w:rFonts w:asciiTheme="minorHAnsi" w:hAnsiTheme="minorHAnsi"/>
                <w:color w:val="000000" w:themeColor="text1"/>
                <w:sz w:val="24"/>
                <w:szCs w:val="24"/>
              </w:rPr>
              <w:t>Counseling Core</w:t>
            </w:r>
          </w:p>
        </w:tc>
        <w:tc>
          <w:tcPr>
            <w:tcW w:w="1757" w:type="dxa"/>
          </w:tcPr>
          <w:p w:rsidR="005F6275" w:rsidRPr="00EA65A1" w:rsidRDefault="005F6275" w:rsidP="005F6275">
            <w:pPr>
              <w:autoSpaceDE w:val="0"/>
              <w:autoSpaceDN w:val="0"/>
              <w:adjustRightInd w:val="0"/>
              <w:spacing w:after="0"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4"/>
                <w:szCs w:val="24"/>
              </w:rPr>
            </w:pPr>
            <w:r w:rsidRPr="00EA65A1">
              <w:rPr>
                <w:rFonts w:asciiTheme="minorHAnsi" w:hAnsiTheme="minorHAnsi"/>
                <w:color w:val="000000" w:themeColor="text1"/>
                <w:sz w:val="24"/>
                <w:szCs w:val="24"/>
              </w:rPr>
              <w:t>8</w:t>
            </w:r>
          </w:p>
        </w:tc>
        <w:tc>
          <w:tcPr>
            <w:cnfStyle w:val="000010000000" w:firstRow="0" w:lastRow="0" w:firstColumn="0" w:lastColumn="0" w:oddVBand="1" w:evenVBand="0" w:oddHBand="0" w:evenHBand="0" w:firstRowFirstColumn="0" w:firstRowLastColumn="0" w:lastRowFirstColumn="0" w:lastRowLastColumn="0"/>
            <w:tcW w:w="1758" w:type="dxa"/>
          </w:tcPr>
          <w:p w:rsidR="005F6275" w:rsidRPr="00EA65A1" w:rsidRDefault="005F6275" w:rsidP="005F6275">
            <w:pPr>
              <w:autoSpaceDE w:val="0"/>
              <w:autoSpaceDN w:val="0"/>
              <w:adjustRightInd w:val="0"/>
              <w:spacing w:after="0" w:line="320" w:lineRule="atLeast"/>
              <w:ind w:left="60" w:right="60"/>
              <w:jc w:val="center"/>
              <w:rPr>
                <w:rFonts w:asciiTheme="minorHAnsi" w:hAnsiTheme="minorHAnsi"/>
                <w:color w:val="000000" w:themeColor="text1"/>
                <w:sz w:val="24"/>
                <w:szCs w:val="24"/>
              </w:rPr>
            </w:pPr>
            <w:r w:rsidRPr="00EA65A1">
              <w:rPr>
                <w:rFonts w:asciiTheme="minorHAnsi" w:hAnsiTheme="minorHAnsi"/>
                <w:color w:val="000000" w:themeColor="text1"/>
                <w:sz w:val="24"/>
                <w:szCs w:val="24"/>
              </w:rPr>
              <w:t>78.5000</w:t>
            </w:r>
          </w:p>
        </w:tc>
        <w:tc>
          <w:tcPr>
            <w:tcW w:w="2466" w:type="dxa"/>
          </w:tcPr>
          <w:p w:rsidR="005F6275" w:rsidRPr="00EA65A1" w:rsidRDefault="005F6275" w:rsidP="005F6275">
            <w:pPr>
              <w:autoSpaceDE w:val="0"/>
              <w:autoSpaceDN w:val="0"/>
              <w:adjustRightInd w:val="0"/>
              <w:spacing w:after="0"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4"/>
                <w:szCs w:val="24"/>
              </w:rPr>
            </w:pPr>
            <w:r w:rsidRPr="00EA65A1">
              <w:rPr>
                <w:rFonts w:asciiTheme="minorHAnsi" w:hAnsiTheme="minorHAnsi"/>
                <w:color w:val="000000" w:themeColor="text1"/>
                <w:sz w:val="24"/>
                <w:szCs w:val="24"/>
              </w:rPr>
              <w:t>5.29150</w:t>
            </w:r>
          </w:p>
        </w:tc>
      </w:tr>
      <w:tr w:rsidR="00EA65A1" w:rsidRPr="00EA65A1" w:rsidTr="00EA65A1">
        <w:trPr>
          <w:trHeight w:val="628"/>
        </w:trPr>
        <w:tc>
          <w:tcPr>
            <w:cnfStyle w:val="000010000000" w:firstRow="0" w:lastRow="0" w:firstColumn="0" w:lastColumn="0" w:oddVBand="1" w:evenVBand="0" w:oddHBand="0" w:evenHBand="0" w:firstRowFirstColumn="0" w:firstRowLastColumn="0" w:lastRowFirstColumn="0" w:lastRowLastColumn="0"/>
            <w:tcW w:w="2915" w:type="dxa"/>
          </w:tcPr>
          <w:p w:rsidR="005F6275" w:rsidRPr="00EA65A1" w:rsidRDefault="005F6275" w:rsidP="0022680D">
            <w:pPr>
              <w:autoSpaceDE w:val="0"/>
              <w:autoSpaceDN w:val="0"/>
              <w:adjustRightInd w:val="0"/>
              <w:spacing w:after="0" w:line="320" w:lineRule="atLeast"/>
              <w:ind w:left="60" w:right="60"/>
              <w:rPr>
                <w:rFonts w:asciiTheme="minorHAnsi" w:hAnsiTheme="minorHAnsi"/>
                <w:color w:val="000000" w:themeColor="text1"/>
                <w:sz w:val="24"/>
                <w:szCs w:val="24"/>
              </w:rPr>
            </w:pPr>
            <w:r w:rsidRPr="00EA65A1">
              <w:rPr>
                <w:rFonts w:asciiTheme="minorHAnsi" w:hAnsiTheme="minorHAnsi"/>
                <w:color w:val="000000" w:themeColor="text1"/>
                <w:sz w:val="24"/>
                <w:szCs w:val="24"/>
              </w:rPr>
              <w:t>Clinical Core</w:t>
            </w:r>
          </w:p>
        </w:tc>
        <w:tc>
          <w:tcPr>
            <w:tcW w:w="1757" w:type="dxa"/>
          </w:tcPr>
          <w:p w:rsidR="005F6275" w:rsidRPr="00EA65A1" w:rsidRDefault="005F6275" w:rsidP="005F6275">
            <w:pPr>
              <w:autoSpaceDE w:val="0"/>
              <w:autoSpaceDN w:val="0"/>
              <w:adjustRightInd w:val="0"/>
              <w:spacing w:after="0"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4"/>
                <w:szCs w:val="24"/>
              </w:rPr>
            </w:pPr>
            <w:r w:rsidRPr="00EA65A1">
              <w:rPr>
                <w:rFonts w:asciiTheme="minorHAnsi" w:hAnsiTheme="minorHAnsi"/>
                <w:color w:val="000000" w:themeColor="text1"/>
                <w:sz w:val="24"/>
                <w:szCs w:val="24"/>
              </w:rPr>
              <w:t>4</w:t>
            </w:r>
          </w:p>
        </w:tc>
        <w:tc>
          <w:tcPr>
            <w:cnfStyle w:val="000010000000" w:firstRow="0" w:lastRow="0" w:firstColumn="0" w:lastColumn="0" w:oddVBand="1" w:evenVBand="0" w:oddHBand="0" w:evenHBand="0" w:firstRowFirstColumn="0" w:firstRowLastColumn="0" w:lastRowFirstColumn="0" w:lastRowLastColumn="0"/>
            <w:tcW w:w="1758" w:type="dxa"/>
          </w:tcPr>
          <w:p w:rsidR="005F6275" w:rsidRPr="00EA65A1" w:rsidRDefault="005F6275" w:rsidP="005F6275">
            <w:pPr>
              <w:autoSpaceDE w:val="0"/>
              <w:autoSpaceDN w:val="0"/>
              <w:adjustRightInd w:val="0"/>
              <w:spacing w:after="0" w:line="320" w:lineRule="atLeast"/>
              <w:ind w:left="60" w:right="60"/>
              <w:jc w:val="center"/>
              <w:rPr>
                <w:rFonts w:asciiTheme="minorHAnsi" w:hAnsiTheme="minorHAnsi"/>
                <w:color w:val="000000" w:themeColor="text1"/>
                <w:sz w:val="24"/>
                <w:szCs w:val="24"/>
              </w:rPr>
            </w:pPr>
            <w:r w:rsidRPr="00EA65A1">
              <w:rPr>
                <w:rFonts w:asciiTheme="minorHAnsi" w:hAnsiTheme="minorHAnsi"/>
                <w:color w:val="000000" w:themeColor="text1"/>
                <w:sz w:val="24"/>
                <w:szCs w:val="24"/>
              </w:rPr>
              <w:t>80.7500</w:t>
            </w:r>
          </w:p>
        </w:tc>
        <w:tc>
          <w:tcPr>
            <w:tcW w:w="2466" w:type="dxa"/>
          </w:tcPr>
          <w:p w:rsidR="005F6275" w:rsidRPr="00EA65A1" w:rsidRDefault="005F6275" w:rsidP="005F6275">
            <w:pPr>
              <w:autoSpaceDE w:val="0"/>
              <w:autoSpaceDN w:val="0"/>
              <w:adjustRightInd w:val="0"/>
              <w:spacing w:after="0"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4"/>
                <w:szCs w:val="24"/>
              </w:rPr>
            </w:pPr>
            <w:r w:rsidRPr="00EA65A1">
              <w:rPr>
                <w:rFonts w:asciiTheme="minorHAnsi" w:hAnsiTheme="minorHAnsi"/>
                <w:color w:val="000000" w:themeColor="text1"/>
                <w:sz w:val="24"/>
                <w:szCs w:val="24"/>
              </w:rPr>
              <w:t>12.84199</w:t>
            </w:r>
          </w:p>
        </w:tc>
      </w:tr>
      <w:tr w:rsidR="00EA65A1" w:rsidRPr="00EA65A1" w:rsidTr="00EA65A1">
        <w:trPr>
          <w:cnfStyle w:val="000000100000" w:firstRow="0" w:lastRow="0" w:firstColumn="0" w:lastColumn="0" w:oddVBand="0" w:evenVBand="0" w:oddHBand="1" w:evenHBand="0" w:firstRowFirstColumn="0" w:firstRowLastColumn="0" w:lastRowFirstColumn="0" w:lastRowLastColumn="0"/>
          <w:trHeight w:val="657"/>
        </w:trPr>
        <w:tc>
          <w:tcPr>
            <w:cnfStyle w:val="000010000000" w:firstRow="0" w:lastRow="0" w:firstColumn="0" w:lastColumn="0" w:oddVBand="1" w:evenVBand="0" w:oddHBand="0" w:evenHBand="0" w:firstRowFirstColumn="0" w:firstRowLastColumn="0" w:lastRowFirstColumn="0" w:lastRowLastColumn="0"/>
            <w:tcW w:w="2915" w:type="dxa"/>
          </w:tcPr>
          <w:p w:rsidR="005F6275" w:rsidRPr="00EA65A1" w:rsidRDefault="005F6275" w:rsidP="0022680D">
            <w:pPr>
              <w:autoSpaceDE w:val="0"/>
              <w:autoSpaceDN w:val="0"/>
              <w:adjustRightInd w:val="0"/>
              <w:spacing w:after="0" w:line="320" w:lineRule="atLeast"/>
              <w:ind w:left="60" w:right="60"/>
              <w:rPr>
                <w:rFonts w:asciiTheme="minorHAnsi" w:hAnsiTheme="minorHAnsi"/>
                <w:color w:val="000000" w:themeColor="text1"/>
                <w:sz w:val="24"/>
                <w:szCs w:val="24"/>
              </w:rPr>
            </w:pPr>
            <w:r w:rsidRPr="00EA65A1">
              <w:rPr>
                <w:rFonts w:asciiTheme="minorHAnsi" w:hAnsiTheme="minorHAnsi"/>
                <w:color w:val="000000" w:themeColor="text1"/>
                <w:sz w:val="24"/>
                <w:szCs w:val="24"/>
              </w:rPr>
              <w:t>N</w:t>
            </w:r>
          </w:p>
        </w:tc>
        <w:tc>
          <w:tcPr>
            <w:tcW w:w="1757" w:type="dxa"/>
          </w:tcPr>
          <w:p w:rsidR="005F6275" w:rsidRPr="00EA65A1" w:rsidRDefault="005F6275" w:rsidP="005F6275">
            <w:pPr>
              <w:autoSpaceDE w:val="0"/>
              <w:autoSpaceDN w:val="0"/>
              <w:adjustRightInd w:val="0"/>
              <w:spacing w:after="0"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4"/>
                <w:szCs w:val="24"/>
              </w:rPr>
            </w:pPr>
            <w:r w:rsidRPr="00EA65A1">
              <w:rPr>
                <w:rFonts w:asciiTheme="minorHAnsi" w:hAnsiTheme="minorHAnsi"/>
                <w:color w:val="000000" w:themeColor="text1"/>
                <w:sz w:val="24"/>
                <w:szCs w:val="24"/>
              </w:rPr>
              <w:t>20</w:t>
            </w:r>
          </w:p>
        </w:tc>
        <w:tc>
          <w:tcPr>
            <w:cnfStyle w:val="000010000000" w:firstRow="0" w:lastRow="0" w:firstColumn="0" w:lastColumn="0" w:oddVBand="1" w:evenVBand="0" w:oddHBand="0" w:evenHBand="0" w:firstRowFirstColumn="0" w:firstRowLastColumn="0" w:lastRowFirstColumn="0" w:lastRowLastColumn="0"/>
            <w:tcW w:w="1758" w:type="dxa"/>
          </w:tcPr>
          <w:p w:rsidR="005F6275" w:rsidRPr="00EA65A1" w:rsidRDefault="005F6275" w:rsidP="005F6275">
            <w:pPr>
              <w:autoSpaceDE w:val="0"/>
              <w:autoSpaceDN w:val="0"/>
              <w:adjustRightInd w:val="0"/>
              <w:spacing w:after="0" w:line="240" w:lineRule="auto"/>
              <w:jc w:val="center"/>
              <w:rPr>
                <w:rFonts w:asciiTheme="minorHAnsi" w:hAnsiTheme="minorHAnsi"/>
                <w:color w:val="000000" w:themeColor="text1"/>
                <w:sz w:val="24"/>
                <w:szCs w:val="24"/>
              </w:rPr>
            </w:pPr>
          </w:p>
        </w:tc>
        <w:tc>
          <w:tcPr>
            <w:tcW w:w="2466" w:type="dxa"/>
          </w:tcPr>
          <w:p w:rsidR="005F6275" w:rsidRPr="00EA65A1" w:rsidRDefault="005F6275" w:rsidP="005F6275">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4"/>
                <w:szCs w:val="24"/>
              </w:rPr>
            </w:pPr>
          </w:p>
        </w:tc>
      </w:tr>
    </w:tbl>
    <w:p w:rsidR="008A7604" w:rsidRPr="00EA65A1" w:rsidRDefault="008A7604" w:rsidP="008A7604">
      <w:pPr>
        <w:rPr>
          <w:rFonts w:asciiTheme="minorHAnsi" w:hAnsiTheme="minorHAnsi"/>
          <w:color w:val="000000"/>
        </w:rPr>
      </w:pPr>
    </w:p>
    <w:p w:rsidR="008A7604" w:rsidRPr="000C51A3" w:rsidRDefault="005F6275" w:rsidP="008A7604">
      <w:pPr>
        <w:rPr>
          <w:color w:val="000000"/>
          <w:sz w:val="24"/>
          <w:szCs w:val="24"/>
        </w:rPr>
      </w:pPr>
      <w:r w:rsidRPr="000C51A3">
        <w:rPr>
          <w:color w:val="000000"/>
          <w:sz w:val="24"/>
          <w:szCs w:val="24"/>
        </w:rPr>
        <w:t xml:space="preserve">Descriptive statistics were conducted to assess the performance of students on the Core section of the Spring 2019 Comprehensive Examination. The analysis shows that there were 4 clinical students, 8 counseling students and 8 rehabilitation counseling students. Using a </w:t>
      </w:r>
      <w:r w:rsidRPr="000C51A3">
        <w:rPr>
          <w:b/>
          <w:color w:val="000000"/>
          <w:sz w:val="24"/>
          <w:szCs w:val="24"/>
        </w:rPr>
        <w:t>benchmark score of 70</w:t>
      </w:r>
      <w:r w:rsidRPr="000C51A3">
        <w:rPr>
          <w:color w:val="000000"/>
          <w:sz w:val="24"/>
          <w:szCs w:val="24"/>
        </w:rPr>
        <w:t xml:space="preserve"> the analysis reveals that </w:t>
      </w:r>
      <w:r w:rsidRPr="000C51A3">
        <w:rPr>
          <w:b/>
          <w:color w:val="000000"/>
          <w:sz w:val="24"/>
          <w:szCs w:val="24"/>
        </w:rPr>
        <w:t xml:space="preserve">12 out of 20 or (60%) of the students met the benchmark, whereas 8 of 20 or (40%) of the students were below the benchmark. </w:t>
      </w:r>
    </w:p>
    <w:p w:rsidR="008A7604" w:rsidRPr="00103E80" w:rsidRDefault="008A7604" w:rsidP="008A7604">
      <w:pPr>
        <w:rPr>
          <w:sz w:val="24"/>
          <w:szCs w:val="24"/>
        </w:rPr>
      </w:pPr>
      <w:r w:rsidRPr="000C48BC">
        <w:rPr>
          <w:b/>
          <w:sz w:val="24"/>
          <w:szCs w:val="24"/>
        </w:rPr>
        <w:t>Status of Performance Target</w:t>
      </w:r>
      <w:r>
        <w:rPr>
          <w:b/>
          <w:sz w:val="24"/>
          <w:szCs w:val="24"/>
        </w:rPr>
        <w:t>#</w:t>
      </w:r>
      <w:r w:rsidR="005F6275">
        <w:rPr>
          <w:b/>
          <w:sz w:val="24"/>
          <w:szCs w:val="24"/>
        </w:rPr>
        <w:t xml:space="preserve"> </w:t>
      </w:r>
      <w:r w:rsidR="008C3068">
        <w:rPr>
          <w:b/>
          <w:sz w:val="24"/>
          <w:szCs w:val="24"/>
        </w:rPr>
        <w:t>1</w:t>
      </w:r>
      <w:r w:rsidRPr="000C48BC">
        <w:rPr>
          <w:b/>
          <w:sz w:val="24"/>
          <w:szCs w:val="24"/>
        </w:rPr>
        <w:t xml:space="preserve">- </w:t>
      </w:r>
      <w:r w:rsidRPr="00103E80">
        <w:rPr>
          <w:sz w:val="24"/>
          <w:szCs w:val="24"/>
        </w:rPr>
        <w:t>Met</w:t>
      </w:r>
    </w:p>
    <w:p w:rsidR="005F6275" w:rsidRDefault="008A7604" w:rsidP="0022108E">
      <w:pPr>
        <w:rPr>
          <w:sz w:val="24"/>
          <w:szCs w:val="24"/>
        </w:rPr>
      </w:pPr>
      <w:r w:rsidRPr="000C48BC">
        <w:rPr>
          <w:b/>
          <w:sz w:val="24"/>
          <w:szCs w:val="24"/>
        </w:rPr>
        <w:t xml:space="preserve">Continuous Quality Improvement: </w:t>
      </w:r>
      <w:r w:rsidRPr="00103E80">
        <w:rPr>
          <w:sz w:val="24"/>
          <w:szCs w:val="24"/>
        </w:rPr>
        <w:t>Faculty meet annually to review student results. Item level analysis is used to make curricular modifications as necessary based on student performance</w:t>
      </w:r>
    </w:p>
    <w:p w:rsidR="00EA65A1" w:rsidRDefault="00EA65A1" w:rsidP="0022108E">
      <w:pPr>
        <w:rPr>
          <w:sz w:val="24"/>
          <w:szCs w:val="24"/>
        </w:rPr>
      </w:pPr>
    </w:p>
    <w:p w:rsidR="00EA65A1" w:rsidRDefault="00EA65A1" w:rsidP="0022108E">
      <w:pPr>
        <w:rPr>
          <w:sz w:val="24"/>
          <w:szCs w:val="24"/>
        </w:rPr>
      </w:pPr>
    </w:p>
    <w:p w:rsidR="00EA65A1" w:rsidRDefault="00EA65A1" w:rsidP="0022108E">
      <w:pPr>
        <w:rPr>
          <w:sz w:val="24"/>
          <w:szCs w:val="24"/>
        </w:rPr>
      </w:pPr>
    </w:p>
    <w:p w:rsidR="00EA65A1" w:rsidRDefault="00EA65A1" w:rsidP="0022108E">
      <w:pPr>
        <w:rPr>
          <w:sz w:val="24"/>
          <w:szCs w:val="24"/>
        </w:rPr>
      </w:pPr>
    </w:p>
    <w:p w:rsidR="00EA65A1" w:rsidRDefault="00EA65A1" w:rsidP="0022108E">
      <w:pPr>
        <w:rPr>
          <w:sz w:val="24"/>
          <w:szCs w:val="24"/>
        </w:rPr>
      </w:pPr>
    </w:p>
    <w:p w:rsidR="00EA65A1" w:rsidRDefault="00EA65A1" w:rsidP="0022108E">
      <w:pPr>
        <w:rPr>
          <w:sz w:val="24"/>
          <w:szCs w:val="24"/>
        </w:rPr>
      </w:pPr>
    </w:p>
    <w:p w:rsidR="00EA65A1" w:rsidRDefault="00EA65A1" w:rsidP="0022108E">
      <w:pPr>
        <w:rPr>
          <w:sz w:val="24"/>
          <w:szCs w:val="24"/>
        </w:rPr>
      </w:pPr>
    </w:p>
    <w:p w:rsidR="00EA65A1" w:rsidRDefault="00EA65A1" w:rsidP="0022108E">
      <w:pPr>
        <w:rPr>
          <w:sz w:val="24"/>
          <w:szCs w:val="24"/>
        </w:rPr>
      </w:pPr>
    </w:p>
    <w:p w:rsidR="0022680D" w:rsidRDefault="0022680D" w:rsidP="0022108E">
      <w:pPr>
        <w:rPr>
          <w:sz w:val="24"/>
          <w:szCs w:val="24"/>
        </w:rPr>
      </w:pPr>
    </w:p>
    <w:p w:rsidR="00EA65A1" w:rsidRDefault="00EA65A1" w:rsidP="0022108E">
      <w:pPr>
        <w:rPr>
          <w:sz w:val="24"/>
          <w:szCs w:val="24"/>
        </w:rPr>
      </w:pPr>
    </w:p>
    <w:p w:rsidR="00EA65A1" w:rsidRPr="006C1A5E" w:rsidRDefault="00EA65A1" w:rsidP="0022108E">
      <w:pPr>
        <w:rPr>
          <w:sz w:val="24"/>
          <w:szCs w:val="24"/>
        </w:rPr>
      </w:pPr>
    </w:p>
    <w:p w:rsidR="0022108E" w:rsidRPr="000C51A3" w:rsidRDefault="0022108E" w:rsidP="006C1A5E">
      <w:pPr>
        <w:jc w:val="center"/>
        <w:rPr>
          <w:b/>
          <w:color w:val="000000"/>
          <w:sz w:val="24"/>
          <w:szCs w:val="24"/>
        </w:rPr>
      </w:pPr>
      <w:r w:rsidRPr="000C51A3">
        <w:rPr>
          <w:b/>
          <w:color w:val="000000"/>
          <w:sz w:val="24"/>
          <w:szCs w:val="24"/>
        </w:rPr>
        <w:t>Degree Program: MS, Counseling Psychology</w:t>
      </w:r>
    </w:p>
    <w:p w:rsidR="0022108E" w:rsidRPr="000C51A3" w:rsidRDefault="0022108E" w:rsidP="0022108E">
      <w:pPr>
        <w:rPr>
          <w:color w:val="000000"/>
          <w:sz w:val="24"/>
          <w:szCs w:val="24"/>
        </w:rPr>
      </w:pPr>
      <w:r w:rsidRPr="000C51A3">
        <w:rPr>
          <w:b/>
          <w:color w:val="000000"/>
          <w:sz w:val="24"/>
          <w:szCs w:val="24"/>
        </w:rPr>
        <w:t>Performance Target#</w:t>
      </w:r>
      <w:r w:rsidR="00783463" w:rsidRPr="000C51A3">
        <w:rPr>
          <w:b/>
          <w:color w:val="000000"/>
          <w:sz w:val="24"/>
          <w:szCs w:val="24"/>
        </w:rPr>
        <w:t>2</w:t>
      </w:r>
      <w:r w:rsidRPr="000C51A3">
        <w:rPr>
          <w:color w:val="000000"/>
          <w:sz w:val="24"/>
          <w:szCs w:val="24"/>
        </w:rPr>
        <w:t xml:space="preserve">: Sixty-percent of students taking the </w:t>
      </w:r>
      <w:r w:rsidRPr="000C51A3">
        <w:rPr>
          <w:color w:val="000000"/>
          <w:sz w:val="24"/>
          <w:szCs w:val="24"/>
          <w:u w:val="single"/>
        </w:rPr>
        <w:t>C</w:t>
      </w:r>
      <w:r w:rsidR="00993683" w:rsidRPr="000C51A3">
        <w:rPr>
          <w:color w:val="000000"/>
          <w:sz w:val="24"/>
          <w:szCs w:val="24"/>
          <w:u w:val="single"/>
        </w:rPr>
        <w:t>oncentration</w:t>
      </w:r>
      <w:r w:rsidR="00993683" w:rsidRPr="000C51A3">
        <w:rPr>
          <w:color w:val="000000"/>
          <w:sz w:val="24"/>
          <w:szCs w:val="24"/>
        </w:rPr>
        <w:t xml:space="preserve"> </w:t>
      </w:r>
      <w:r w:rsidRPr="000C51A3">
        <w:rPr>
          <w:color w:val="000000"/>
          <w:sz w:val="24"/>
          <w:szCs w:val="24"/>
        </w:rPr>
        <w:t>section of the Comprehensive Examination will achieve a score of 70% or better.</w:t>
      </w:r>
    </w:p>
    <w:p w:rsidR="00416001" w:rsidRDefault="0022108E" w:rsidP="0022108E">
      <w:pPr>
        <w:rPr>
          <w:color w:val="000000"/>
          <w:sz w:val="24"/>
          <w:szCs w:val="24"/>
        </w:rPr>
      </w:pPr>
      <w:r w:rsidRPr="000C51A3">
        <w:rPr>
          <w:b/>
          <w:color w:val="000000"/>
          <w:sz w:val="24"/>
          <w:szCs w:val="24"/>
        </w:rPr>
        <w:t>Direct Assessment Measure</w:t>
      </w:r>
      <w:r w:rsidRPr="000C51A3">
        <w:rPr>
          <w:color w:val="000000"/>
          <w:sz w:val="24"/>
          <w:szCs w:val="24"/>
        </w:rPr>
        <w:t>- The Graduate Comprehensive Examination is a 250-item assessment designed to measure student knowledge across 8 domains (Core) as well as the acquisition of specialized knowledge (Concentration). This exam is offered once during the semester. Students are eligible to sit for the exam after completing at least 30 hours of course work and advisor approval.</w:t>
      </w:r>
    </w:p>
    <w:p w:rsidR="00EA65A1" w:rsidRPr="00EA65A1" w:rsidRDefault="00EA65A1" w:rsidP="00EA65A1">
      <w:pPr>
        <w:spacing w:after="0" w:line="360" w:lineRule="auto"/>
        <w:contextualSpacing/>
        <w:rPr>
          <w:b/>
          <w:i/>
          <w:sz w:val="24"/>
          <w:szCs w:val="24"/>
        </w:rPr>
      </w:pPr>
      <w:r w:rsidRPr="0022680D">
        <w:rPr>
          <w:b/>
          <w:color w:val="000000"/>
          <w:sz w:val="24"/>
          <w:szCs w:val="24"/>
        </w:rPr>
        <w:t>Table 3.</w:t>
      </w:r>
      <w:r>
        <w:rPr>
          <w:b/>
          <w:sz w:val="24"/>
          <w:szCs w:val="24"/>
        </w:rPr>
        <w:t xml:space="preserve"> </w:t>
      </w:r>
      <w:r w:rsidRPr="000628D0">
        <w:rPr>
          <w:b/>
          <w:sz w:val="24"/>
          <w:szCs w:val="24"/>
        </w:rPr>
        <w:t xml:space="preserve">Graduate </w:t>
      </w:r>
      <w:r>
        <w:rPr>
          <w:b/>
          <w:sz w:val="24"/>
          <w:szCs w:val="24"/>
        </w:rPr>
        <w:t>–</w:t>
      </w:r>
      <w:r w:rsidRPr="000628D0">
        <w:rPr>
          <w:b/>
          <w:sz w:val="24"/>
          <w:szCs w:val="24"/>
        </w:rPr>
        <w:t xml:space="preserve"> </w:t>
      </w:r>
      <w:r w:rsidR="0022680D">
        <w:rPr>
          <w:b/>
          <w:color w:val="C00000"/>
          <w:sz w:val="24"/>
          <w:szCs w:val="24"/>
        </w:rPr>
        <w:t>Specialty</w:t>
      </w:r>
      <w:r w:rsidR="0022680D" w:rsidRPr="0022680D">
        <w:rPr>
          <w:b/>
          <w:color w:val="C00000"/>
          <w:sz w:val="24"/>
          <w:szCs w:val="24"/>
        </w:rPr>
        <w:t>/</w:t>
      </w:r>
      <w:r w:rsidRPr="0022680D">
        <w:rPr>
          <w:b/>
          <w:color w:val="C00000"/>
          <w:sz w:val="24"/>
          <w:szCs w:val="24"/>
        </w:rPr>
        <w:t xml:space="preserve">Concentration Exam Passage </w:t>
      </w:r>
      <w:r w:rsidRPr="0022680D">
        <w:rPr>
          <w:b/>
          <w:i/>
          <w:color w:val="C00000"/>
          <w:sz w:val="24"/>
          <w:szCs w:val="24"/>
        </w:rPr>
        <w:t>Rate</w:t>
      </w:r>
      <w:r w:rsidR="0022680D">
        <w:rPr>
          <w:b/>
          <w:i/>
          <w:color w:val="C00000"/>
          <w:sz w:val="24"/>
          <w:szCs w:val="24"/>
        </w:rPr>
        <w:t xml:space="preserve"> </w:t>
      </w:r>
      <w:r w:rsidR="0022680D" w:rsidRPr="0022680D">
        <w:rPr>
          <w:b/>
          <w:i/>
          <w:color w:val="000000" w:themeColor="text1"/>
          <w:sz w:val="24"/>
          <w:szCs w:val="24"/>
        </w:rPr>
        <w:t>(Spring</w:t>
      </w:r>
      <w:r w:rsidRPr="0022680D">
        <w:rPr>
          <w:b/>
          <w:i/>
          <w:color w:val="C00000"/>
          <w:sz w:val="24"/>
          <w:szCs w:val="24"/>
        </w:rPr>
        <w:t xml:space="preserve"> </w:t>
      </w:r>
      <w:r>
        <w:rPr>
          <w:b/>
          <w:sz w:val="24"/>
          <w:szCs w:val="24"/>
        </w:rPr>
        <w:t>2019</w:t>
      </w:r>
      <w:r w:rsidR="0022680D">
        <w:rPr>
          <w:b/>
          <w:sz w:val="24"/>
          <w:szCs w:val="24"/>
        </w:rPr>
        <w:t>)</w:t>
      </w:r>
      <w:r w:rsidR="0022680D">
        <w:rPr>
          <w:b/>
          <w:i/>
          <w:sz w:val="24"/>
          <w:szCs w:val="24"/>
        </w:rPr>
        <w:t xml:space="preserve"> N= 19</w:t>
      </w:r>
    </w:p>
    <w:tbl>
      <w:tblPr>
        <w:tblStyle w:val="GridTable5Dark-Accent5"/>
        <w:tblW w:w="8891" w:type="dxa"/>
        <w:tblLayout w:type="fixed"/>
        <w:tblLook w:val="0000" w:firstRow="0" w:lastRow="0" w:firstColumn="0" w:lastColumn="0" w:noHBand="0" w:noVBand="0"/>
      </w:tblPr>
      <w:tblGrid>
        <w:gridCol w:w="2912"/>
        <w:gridCol w:w="1756"/>
        <w:gridCol w:w="1757"/>
        <w:gridCol w:w="2466"/>
      </w:tblGrid>
      <w:tr w:rsidR="00EA65A1" w:rsidRPr="00EA65A1" w:rsidTr="00EA65A1">
        <w:trPr>
          <w:cnfStyle w:val="000000100000" w:firstRow="0" w:lastRow="0" w:firstColumn="0" w:lastColumn="0" w:oddVBand="0" w:evenVBand="0" w:oddHBand="1" w:evenHBand="0" w:firstRowFirstColumn="0" w:firstRowLastColumn="0" w:lastRowFirstColumn="0" w:lastRowLastColumn="0"/>
          <w:trHeight w:val="678"/>
        </w:trPr>
        <w:tc>
          <w:tcPr>
            <w:cnfStyle w:val="000010000000" w:firstRow="0" w:lastRow="0" w:firstColumn="0" w:lastColumn="0" w:oddVBand="1" w:evenVBand="0" w:oddHBand="0" w:evenHBand="0" w:firstRowFirstColumn="0" w:firstRowLastColumn="0" w:lastRowFirstColumn="0" w:lastRowLastColumn="0"/>
            <w:tcW w:w="2912" w:type="dxa"/>
          </w:tcPr>
          <w:p w:rsidR="008A7604" w:rsidRPr="00EA65A1" w:rsidRDefault="008A7604" w:rsidP="008C3068">
            <w:pPr>
              <w:rPr>
                <w:b/>
                <w:sz w:val="24"/>
                <w:szCs w:val="24"/>
              </w:rPr>
            </w:pPr>
            <w:r w:rsidRPr="00EA65A1">
              <w:rPr>
                <w:b/>
                <w:sz w:val="24"/>
                <w:szCs w:val="24"/>
              </w:rPr>
              <w:t>Concentration</w:t>
            </w:r>
            <w:r w:rsidR="00EA65A1" w:rsidRPr="00EA65A1">
              <w:rPr>
                <w:b/>
                <w:sz w:val="24"/>
                <w:szCs w:val="24"/>
              </w:rPr>
              <w:t xml:space="preserve"> Area</w:t>
            </w:r>
          </w:p>
        </w:tc>
        <w:tc>
          <w:tcPr>
            <w:tcW w:w="1756" w:type="dxa"/>
          </w:tcPr>
          <w:p w:rsidR="008A7604" w:rsidRPr="00EA65A1" w:rsidRDefault="008A7604" w:rsidP="008A7604">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EA65A1">
              <w:rPr>
                <w:b/>
                <w:sz w:val="24"/>
                <w:szCs w:val="24"/>
              </w:rPr>
              <w:t>N</w:t>
            </w:r>
          </w:p>
        </w:tc>
        <w:tc>
          <w:tcPr>
            <w:cnfStyle w:val="000010000000" w:firstRow="0" w:lastRow="0" w:firstColumn="0" w:lastColumn="0" w:oddVBand="1" w:evenVBand="0" w:oddHBand="0" w:evenHBand="0" w:firstRowFirstColumn="0" w:firstRowLastColumn="0" w:lastRowFirstColumn="0" w:lastRowLastColumn="0"/>
            <w:tcW w:w="1757" w:type="dxa"/>
          </w:tcPr>
          <w:p w:rsidR="008A7604" w:rsidRPr="00EA65A1" w:rsidRDefault="008A7604" w:rsidP="008A7604">
            <w:pPr>
              <w:jc w:val="center"/>
              <w:rPr>
                <w:b/>
                <w:sz w:val="24"/>
                <w:szCs w:val="24"/>
              </w:rPr>
            </w:pPr>
            <w:r w:rsidRPr="00EA65A1">
              <w:rPr>
                <w:b/>
                <w:sz w:val="24"/>
                <w:szCs w:val="24"/>
              </w:rPr>
              <w:t>Mean</w:t>
            </w:r>
          </w:p>
        </w:tc>
        <w:tc>
          <w:tcPr>
            <w:tcW w:w="2466" w:type="dxa"/>
          </w:tcPr>
          <w:p w:rsidR="008A7604" w:rsidRPr="00EA65A1" w:rsidRDefault="008A7604" w:rsidP="008A7604">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EA65A1">
              <w:rPr>
                <w:b/>
                <w:sz w:val="24"/>
                <w:szCs w:val="24"/>
              </w:rPr>
              <w:t>Std. Deviation</w:t>
            </w:r>
          </w:p>
        </w:tc>
      </w:tr>
      <w:tr w:rsidR="00EA65A1" w:rsidRPr="00CB0F1D" w:rsidTr="00EA65A1">
        <w:trPr>
          <w:trHeight w:val="648"/>
        </w:trPr>
        <w:tc>
          <w:tcPr>
            <w:cnfStyle w:val="000010000000" w:firstRow="0" w:lastRow="0" w:firstColumn="0" w:lastColumn="0" w:oddVBand="1" w:evenVBand="0" w:oddHBand="0" w:evenHBand="0" w:firstRowFirstColumn="0" w:firstRowLastColumn="0" w:lastRowFirstColumn="0" w:lastRowLastColumn="0"/>
            <w:tcW w:w="2912" w:type="dxa"/>
          </w:tcPr>
          <w:p w:rsidR="008A7604" w:rsidRPr="00CB0F1D" w:rsidRDefault="008A7604" w:rsidP="008C3068">
            <w:r w:rsidRPr="00CB0F1D">
              <w:t>Rehab</w:t>
            </w:r>
            <w:r>
              <w:t>ilitation</w:t>
            </w:r>
          </w:p>
        </w:tc>
        <w:tc>
          <w:tcPr>
            <w:tcW w:w="1756" w:type="dxa"/>
          </w:tcPr>
          <w:p w:rsidR="008A7604" w:rsidRPr="00CB0F1D" w:rsidRDefault="008A7604" w:rsidP="008A7604">
            <w:pPr>
              <w:jc w:val="center"/>
              <w:cnfStyle w:val="000000000000" w:firstRow="0" w:lastRow="0" w:firstColumn="0" w:lastColumn="0" w:oddVBand="0" w:evenVBand="0" w:oddHBand="0" w:evenHBand="0" w:firstRowFirstColumn="0" w:firstRowLastColumn="0" w:lastRowFirstColumn="0" w:lastRowLastColumn="0"/>
            </w:pPr>
            <w:r w:rsidRPr="00CB0F1D">
              <w:t>9</w:t>
            </w:r>
          </w:p>
        </w:tc>
        <w:tc>
          <w:tcPr>
            <w:cnfStyle w:val="000010000000" w:firstRow="0" w:lastRow="0" w:firstColumn="0" w:lastColumn="0" w:oddVBand="1" w:evenVBand="0" w:oddHBand="0" w:evenHBand="0" w:firstRowFirstColumn="0" w:firstRowLastColumn="0" w:lastRowFirstColumn="0" w:lastRowLastColumn="0"/>
            <w:tcW w:w="1757" w:type="dxa"/>
          </w:tcPr>
          <w:p w:rsidR="008A7604" w:rsidRPr="00CB0F1D" w:rsidRDefault="008A7604" w:rsidP="008A7604">
            <w:pPr>
              <w:jc w:val="center"/>
            </w:pPr>
            <w:r w:rsidRPr="00CB0F1D">
              <w:t>57.2222</w:t>
            </w:r>
          </w:p>
        </w:tc>
        <w:tc>
          <w:tcPr>
            <w:tcW w:w="2466" w:type="dxa"/>
          </w:tcPr>
          <w:p w:rsidR="008A7604" w:rsidRPr="00CB0F1D" w:rsidRDefault="008A7604" w:rsidP="008A7604">
            <w:pPr>
              <w:jc w:val="center"/>
              <w:cnfStyle w:val="000000000000" w:firstRow="0" w:lastRow="0" w:firstColumn="0" w:lastColumn="0" w:oddVBand="0" w:evenVBand="0" w:oddHBand="0" w:evenHBand="0" w:firstRowFirstColumn="0" w:firstRowLastColumn="0" w:lastRowFirstColumn="0" w:lastRowLastColumn="0"/>
            </w:pPr>
            <w:r w:rsidRPr="00CB0F1D">
              <w:t>18.91942</w:t>
            </w:r>
          </w:p>
        </w:tc>
      </w:tr>
      <w:tr w:rsidR="00EA65A1" w:rsidRPr="00CB0F1D" w:rsidTr="00EA65A1">
        <w:trPr>
          <w:cnfStyle w:val="000000100000" w:firstRow="0" w:lastRow="0" w:firstColumn="0" w:lastColumn="0" w:oddVBand="0" w:evenVBand="0" w:oddHBand="1" w:evenHBand="0" w:firstRowFirstColumn="0" w:firstRowLastColumn="0" w:lastRowFirstColumn="0" w:lastRowLastColumn="0"/>
          <w:trHeight w:val="678"/>
        </w:trPr>
        <w:tc>
          <w:tcPr>
            <w:cnfStyle w:val="000010000000" w:firstRow="0" w:lastRow="0" w:firstColumn="0" w:lastColumn="0" w:oddVBand="1" w:evenVBand="0" w:oddHBand="0" w:evenHBand="0" w:firstRowFirstColumn="0" w:firstRowLastColumn="0" w:lastRowFirstColumn="0" w:lastRowLastColumn="0"/>
            <w:tcW w:w="2912" w:type="dxa"/>
          </w:tcPr>
          <w:p w:rsidR="008A7604" w:rsidRPr="00CB0F1D" w:rsidRDefault="008A7604" w:rsidP="008C3068">
            <w:r w:rsidRPr="00CB0F1D">
              <w:t>Counseling</w:t>
            </w:r>
          </w:p>
        </w:tc>
        <w:tc>
          <w:tcPr>
            <w:tcW w:w="1756" w:type="dxa"/>
          </w:tcPr>
          <w:p w:rsidR="008A7604" w:rsidRPr="00CB0F1D" w:rsidRDefault="008A7604" w:rsidP="008A7604">
            <w:pPr>
              <w:jc w:val="center"/>
              <w:cnfStyle w:val="000000100000" w:firstRow="0" w:lastRow="0" w:firstColumn="0" w:lastColumn="0" w:oddVBand="0" w:evenVBand="0" w:oddHBand="1" w:evenHBand="0" w:firstRowFirstColumn="0" w:firstRowLastColumn="0" w:lastRowFirstColumn="0" w:lastRowLastColumn="0"/>
            </w:pPr>
            <w:r w:rsidRPr="00CB0F1D">
              <w:t>6</w:t>
            </w:r>
          </w:p>
        </w:tc>
        <w:tc>
          <w:tcPr>
            <w:cnfStyle w:val="000010000000" w:firstRow="0" w:lastRow="0" w:firstColumn="0" w:lastColumn="0" w:oddVBand="1" w:evenVBand="0" w:oddHBand="0" w:evenHBand="0" w:firstRowFirstColumn="0" w:firstRowLastColumn="0" w:lastRowFirstColumn="0" w:lastRowLastColumn="0"/>
            <w:tcW w:w="1757" w:type="dxa"/>
          </w:tcPr>
          <w:p w:rsidR="008A7604" w:rsidRPr="00CB0F1D" w:rsidRDefault="008A7604" w:rsidP="008A7604">
            <w:pPr>
              <w:jc w:val="center"/>
            </w:pPr>
            <w:r w:rsidRPr="00CB0F1D">
              <w:t>87.3333</w:t>
            </w:r>
          </w:p>
        </w:tc>
        <w:tc>
          <w:tcPr>
            <w:tcW w:w="2466" w:type="dxa"/>
          </w:tcPr>
          <w:p w:rsidR="008A7604" w:rsidRPr="00CB0F1D" w:rsidRDefault="008A7604" w:rsidP="008A7604">
            <w:pPr>
              <w:jc w:val="center"/>
              <w:cnfStyle w:val="000000100000" w:firstRow="0" w:lastRow="0" w:firstColumn="0" w:lastColumn="0" w:oddVBand="0" w:evenVBand="0" w:oddHBand="1" w:evenHBand="0" w:firstRowFirstColumn="0" w:firstRowLastColumn="0" w:lastRowFirstColumn="0" w:lastRowLastColumn="0"/>
            </w:pPr>
            <w:r w:rsidRPr="00CB0F1D">
              <w:t>5.27889</w:t>
            </w:r>
          </w:p>
        </w:tc>
      </w:tr>
      <w:tr w:rsidR="00EA65A1" w:rsidRPr="00CB0F1D" w:rsidTr="00EA65A1">
        <w:trPr>
          <w:trHeight w:val="678"/>
        </w:trPr>
        <w:tc>
          <w:tcPr>
            <w:cnfStyle w:val="000010000000" w:firstRow="0" w:lastRow="0" w:firstColumn="0" w:lastColumn="0" w:oddVBand="1" w:evenVBand="0" w:oddHBand="0" w:evenHBand="0" w:firstRowFirstColumn="0" w:firstRowLastColumn="0" w:lastRowFirstColumn="0" w:lastRowLastColumn="0"/>
            <w:tcW w:w="2912" w:type="dxa"/>
          </w:tcPr>
          <w:p w:rsidR="008A7604" w:rsidRPr="00CB0F1D" w:rsidRDefault="008A7604" w:rsidP="008C3068">
            <w:r w:rsidRPr="00CB0F1D">
              <w:t>Clinical</w:t>
            </w:r>
          </w:p>
        </w:tc>
        <w:tc>
          <w:tcPr>
            <w:tcW w:w="1756" w:type="dxa"/>
          </w:tcPr>
          <w:p w:rsidR="008A7604" w:rsidRPr="00CB0F1D" w:rsidRDefault="008A7604" w:rsidP="008A7604">
            <w:pPr>
              <w:jc w:val="center"/>
              <w:cnfStyle w:val="000000000000" w:firstRow="0" w:lastRow="0" w:firstColumn="0" w:lastColumn="0" w:oddVBand="0" w:evenVBand="0" w:oddHBand="0" w:evenHBand="0" w:firstRowFirstColumn="0" w:firstRowLastColumn="0" w:lastRowFirstColumn="0" w:lastRowLastColumn="0"/>
            </w:pPr>
            <w:r w:rsidRPr="00CB0F1D">
              <w:t>4</w:t>
            </w:r>
          </w:p>
        </w:tc>
        <w:tc>
          <w:tcPr>
            <w:cnfStyle w:val="000010000000" w:firstRow="0" w:lastRow="0" w:firstColumn="0" w:lastColumn="0" w:oddVBand="1" w:evenVBand="0" w:oddHBand="0" w:evenHBand="0" w:firstRowFirstColumn="0" w:firstRowLastColumn="0" w:lastRowFirstColumn="0" w:lastRowLastColumn="0"/>
            <w:tcW w:w="1757" w:type="dxa"/>
          </w:tcPr>
          <w:p w:rsidR="008A7604" w:rsidRPr="00CB0F1D" w:rsidRDefault="008A7604" w:rsidP="008A7604">
            <w:pPr>
              <w:jc w:val="center"/>
            </w:pPr>
            <w:r w:rsidRPr="00CB0F1D">
              <w:t>83.0000</w:t>
            </w:r>
          </w:p>
        </w:tc>
        <w:tc>
          <w:tcPr>
            <w:tcW w:w="2466" w:type="dxa"/>
          </w:tcPr>
          <w:p w:rsidR="008A7604" w:rsidRPr="00CB0F1D" w:rsidRDefault="008A7604" w:rsidP="008A7604">
            <w:pPr>
              <w:jc w:val="center"/>
              <w:cnfStyle w:val="000000000000" w:firstRow="0" w:lastRow="0" w:firstColumn="0" w:lastColumn="0" w:oddVBand="0" w:evenVBand="0" w:oddHBand="0" w:evenHBand="0" w:firstRowFirstColumn="0" w:firstRowLastColumn="0" w:lastRowFirstColumn="0" w:lastRowLastColumn="0"/>
            </w:pPr>
            <w:r w:rsidRPr="00CB0F1D">
              <w:t>13.46601</w:t>
            </w:r>
          </w:p>
        </w:tc>
      </w:tr>
      <w:tr w:rsidR="00EA65A1" w:rsidRPr="00CB0F1D" w:rsidTr="00EA65A1">
        <w:trPr>
          <w:cnfStyle w:val="000000100000" w:firstRow="0" w:lastRow="0" w:firstColumn="0" w:lastColumn="0" w:oddVBand="0" w:evenVBand="0" w:oddHBand="1" w:evenHBand="0" w:firstRowFirstColumn="0" w:firstRowLastColumn="0" w:lastRowFirstColumn="0" w:lastRowLastColumn="0"/>
          <w:trHeight w:val="678"/>
        </w:trPr>
        <w:tc>
          <w:tcPr>
            <w:cnfStyle w:val="000010000000" w:firstRow="0" w:lastRow="0" w:firstColumn="0" w:lastColumn="0" w:oddVBand="1" w:evenVBand="0" w:oddHBand="0" w:evenHBand="0" w:firstRowFirstColumn="0" w:firstRowLastColumn="0" w:lastRowFirstColumn="0" w:lastRowLastColumn="0"/>
            <w:tcW w:w="2912" w:type="dxa"/>
          </w:tcPr>
          <w:p w:rsidR="008A7604" w:rsidRPr="00CB0F1D" w:rsidRDefault="008A7604" w:rsidP="008C3068">
            <w:r>
              <w:t xml:space="preserve">Total </w:t>
            </w:r>
          </w:p>
        </w:tc>
        <w:tc>
          <w:tcPr>
            <w:tcW w:w="1756" w:type="dxa"/>
          </w:tcPr>
          <w:p w:rsidR="008A7604" w:rsidRPr="00CB0F1D" w:rsidRDefault="008A7604" w:rsidP="008A7604">
            <w:pPr>
              <w:jc w:val="center"/>
              <w:cnfStyle w:val="000000100000" w:firstRow="0" w:lastRow="0" w:firstColumn="0" w:lastColumn="0" w:oddVBand="0" w:evenVBand="0" w:oddHBand="1" w:evenHBand="0" w:firstRowFirstColumn="0" w:firstRowLastColumn="0" w:lastRowFirstColumn="0" w:lastRowLastColumn="0"/>
              <w:rPr>
                <w:b/>
              </w:rPr>
            </w:pPr>
            <w:r w:rsidRPr="00CB0F1D">
              <w:rPr>
                <w:b/>
              </w:rPr>
              <w:t>19</w:t>
            </w:r>
          </w:p>
        </w:tc>
        <w:tc>
          <w:tcPr>
            <w:cnfStyle w:val="000010000000" w:firstRow="0" w:lastRow="0" w:firstColumn="0" w:lastColumn="0" w:oddVBand="1" w:evenVBand="0" w:oddHBand="0" w:evenHBand="0" w:firstRowFirstColumn="0" w:firstRowLastColumn="0" w:lastRowFirstColumn="0" w:lastRowLastColumn="0"/>
            <w:tcW w:w="1757" w:type="dxa"/>
          </w:tcPr>
          <w:p w:rsidR="008A7604" w:rsidRPr="00CB0F1D" w:rsidRDefault="008A7604" w:rsidP="008A7604">
            <w:pPr>
              <w:jc w:val="center"/>
            </w:pPr>
          </w:p>
        </w:tc>
        <w:tc>
          <w:tcPr>
            <w:tcW w:w="2466" w:type="dxa"/>
          </w:tcPr>
          <w:p w:rsidR="008A7604" w:rsidRPr="00CB0F1D" w:rsidRDefault="008A7604" w:rsidP="008A7604">
            <w:pPr>
              <w:jc w:val="center"/>
              <w:cnfStyle w:val="000000100000" w:firstRow="0" w:lastRow="0" w:firstColumn="0" w:lastColumn="0" w:oddVBand="0" w:evenVBand="0" w:oddHBand="1" w:evenHBand="0" w:firstRowFirstColumn="0" w:firstRowLastColumn="0" w:lastRowFirstColumn="0" w:lastRowLastColumn="0"/>
            </w:pPr>
          </w:p>
        </w:tc>
      </w:tr>
    </w:tbl>
    <w:p w:rsidR="00EA65A1" w:rsidRDefault="00EA65A1" w:rsidP="008A7604">
      <w:pPr>
        <w:rPr>
          <w:sz w:val="24"/>
          <w:szCs w:val="24"/>
        </w:rPr>
      </w:pPr>
    </w:p>
    <w:p w:rsidR="008A7604" w:rsidRPr="00EA65A1" w:rsidRDefault="008A7604" w:rsidP="008A7604">
      <w:pPr>
        <w:rPr>
          <w:b/>
          <w:sz w:val="24"/>
          <w:szCs w:val="24"/>
        </w:rPr>
      </w:pPr>
      <w:r w:rsidRPr="00FB54A9">
        <w:rPr>
          <w:sz w:val="24"/>
          <w:szCs w:val="24"/>
        </w:rPr>
        <w:t>Descriptive statistics were conducted to assess the performance of students on the Specialty/Concentration</w:t>
      </w:r>
      <w:r>
        <w:rPr>
          <w:sz w:val="24"/>
          <w:szCs w:val="24"/>
        </w:rPr>
        <w:t xml:space="preserve"> section of the 2019</w:t>
      </w:r>
      <w:r w:rsidRPr="00FB54A9">
        <w:rPr>
          <w:sz w:val="24"/>
          <w:szCs w:val="24"/>
        </w:rPr>
        <w:t xml:space="preserve"> Comprehensive examination. </w:t>
      </w:r>
      <w:r w:rsidRPr="00FB54A9">
        <w:rPr>
          <w:b/>
          <w:sz w:val="24"/>
          <w:szCs w:val="24"/>
        </w:rPr>
        <w:t xml:space="preserve">The analysis revealed N= </w:t>
      </w:r>
      <w:r w:rsidRPr="002E0DA9">
        <w:rPr>
          <w:b/>
          <w:sz w:val="24"/>
          <w:szCs w:val="24"/>
        </w:rPr>
        <w:t xml:space="preserve">19 </w:t>
      </w:r>
      <w:r w:rsidRPr="00FB54A9">
        <w:rPr>
          <w:b/>
          <w:sz w:val="24"/>
          <w:szCs w:val="24"/>
        </w:rPr>
        <w:t>students took the exam. Counseling students, (N=</w:t>
      </w:r>
      <w:r w:rsidRPr="002E0DA9">
        <w:rPr>
          <w:b/>
          <w:sz w:val="24"/>
          <w:szCs w:val="24"/>
        </w:rPr>
        <w:t>6</w:t>
      </w:r>
      <w:r w:rsidRPr="00FB54A9">
        <w:rPr>
          <w:b/>
          <w:sz w:val="24"/>
          <w:szCs w:val="24"/>
        </w:rPr>
        <w:t xml:space="preserve">; </w:t>
      </w:r>
      <w:r w:rsidRPr="002E0DA9">
        <w:rPr>
          <w:b/>
          <w:sz w:val="24"/>
          <w:szCs w:val="24"/>
        </w:rPr>
        <w:t>30</w:t>
      </w:r>
      <w:r w:rsidRPr="00FB54A9">
        <w:rPr>
          <w:b/>
          <w:sz w:val="24"/>
          <w:szCs w:val="24"/>
        </w:rPr>
        <w:t>%); Clinical (N=</w:t>
      </w:r>
      <w:r w:rsidRPr="002E0DA9">
        <w:rPr>
          <w:b/>
          <w:sz w:val="24"/>
          <w:szCs w:val="24"/>
        </w:rPr>
        <w:t>4</w:t>
      </w:r>
      <w:r w:rsidRPr="00FB54A9">
        <w:rPr>
          <w:b/>
          <w:sz w:val="24"/>
          <w:szCs w:val="24"/>
        </w:rPr>
        <w:t xml:space="preserve">; </w:t>
      </w:r>
      <w:r w:rsidRPr="002E0DA9">
        <w:rPr>
          <w:b/>
          <w:sz w:val="24"/>
          <w:szCs w:val="24"/>
        </w:rPr>
        <w:t>20</w:t>
      </w:r>
      <w:r w:rsidRPr="00FB54A9">
        <w:rPr>
          <w:b/>
          <w:sz w:val="24"/>
          <w:szCs w:val="24"/>
        </w:rPr>
        <w:t>%) and Rehabilitation counseling students (N=</w:t>
      </w:r>
      <w:r w:rsidRPr="002E0DA9">
        <w:rPr>
          <w:b/>
          <w:sz w:val="24"/>
          <w:szCs w:val="24"/>
        </w:rPr>
        <w:t>9</w:t>
      </w:r>
      <w:r w:rsidRPr="00FB54A9">
        <w:rPr>
          <w:b/>
          <w:sz w:val="24"/>
          <w:szCs w:val="24"/>
        </w:rPr>
        <w:t xml:space="preserve">; </w:t>
      </w:r>
      <w:r w:rsidRPr="002E0DA9">
        <w:rPr>
          <w:b/>
          <w:sz w:val="24"/>
          <w:szCs w:val="24"/>
        </w:rPr>
        <w:t>45</w:t>
      </w:r>
      <w:r w:rsidRPr="00FB54A9">
        <w:rPr>
          <w:b/>
          <w:sz w:val="24"/>
          <w:szCs w:val="24"/>
        </w:rPr>
        <w:t xml:space="preserve">%). </w:t>
      </w:r>
      <w:r w:rsidRPr="00FB54A9">
        <w:rPr>
          <w:sz w:val="24"/>
          <w:szCs w:val="24"/>
        </w:rPr>
        <w:t>The results show the average score for Counseling students (</w:t>
      </w:r>
      <w:r>
        <w:rPr>
          <w:b/>
          <w:sz w:val="24"/>
          <w:szCs w:val="24"/>
        </w:rPr>
        <w:t>M=87, SD=5.27</w:t>
      </w:r>
      <w:r w:rsidRPr="00FB54A9">
        <w:rPr>
          <w:b/>
          <w:sz w:val="24"/>
          <w:szCs w:val="24"/>
        </w:rPr>
        <w:t>),</w:t>
      </w:r>
      <w:r w:rsidRPr="00FB54A9">
        <w:rPr>
          <w:sz w:val="24"/>
          <w:szCs w:val="24"/>
        </w:rPr>
        <w:t xml:space="preserve"> Clinical students was (</w:t>
      </w:r>
      <w:r>
        <w:rPr>
          <w:b/>
          <w:sz w:val="24"/>
          <w:szCs w:val="24"/>
        </w:rPr>
        <w:t>M=83, SD=13.47</w:t>
      </w:r>
      <w:r w:rsidRPr="00FB54A9">
        <w:rPr>
          <w:b/>
          <w:sz w:val="24"/>
          <w:szCs w:val="24"/>
        </w:rPr>
        <w:t>)</w:t>
      </w:r>
      <w:r w:rsidRPr="00FB54A9">
        <w:rPr>
          <w:sz w:val="24"/>
          <w:szCs w:val="24"/>
        </w:rPr>
        <w:t xml:space="preserve"> and Rehabilitation Counseling (</w:t>
      </w:r>
      <w:r w:rsidRPr="00FB54A9">
        <w:rPr>
          <w:b/>
          <w:sz w:val="24"/>
          <w:szCs w:val="24"/>
        </w:rPr>
        <w:t>M=</w:t>
      </w:r>
      <w:r>
        <w:rPr>
          <w:b/>
          <w:sz w:val="24"/>
          <w:szCs w:val="24"/>
        </w:rPr>
        <w:t>57</w:t>
      </w:r>
      <w:r w:rsidRPr="00FB54A9">
        <w:rPr>
          <w:b/>
          <w:sz w:val="24"/>
          <w:szCs w:val="24"/>
        </w:rPr>
        <w:t>,</w:t>
      </w:r>
      <w:r w:rsidRPr="00FB54A9">
        <w:rPr>
          <w:sz w:val="24"/>
          <w:szCs w:val="24"/>
        </w:rPr>
        <w:t xml:space="preserve"> </w:t>
      </w:r>
      <w:r w:rsidRPr="00FB54A9">
        <w:rPr>
          <w:b/>
          <w:sz w:val="24"/>
          <w:szCs w:val="24"/>
        </w:rPr>
        <w:t>SD=</w:t>
      </w:r>
      <w:r>
        <w:rPr>
          <w:b/>
          <w:sz w:val="24"/>
          <w:szCs w:val="24"/>
        </w:rPr>
        <w:t>18.92</w:t>
      </w:r>
      <w:r w:rsidRPr="00FB54A9">
        <w:rPr>
          <w:b/>
          <w:sz w:val="24"/>
          <w:szCs w:val="24"/>
        </w:rPr>
        <w:t>)</w:t>
      </w:r>
      <w:r w:rsidRPr="00FB54A9">
        <w:rPr>
          <w:sz w:val="24"/>
          <w:szCs w:val="24"/>
        </w:rPr>
        <w:t xml:space="preserve"> respectively. </w:t>
      </w:r>
    </w:p>
    <w:p w:rsidR="002456EB" w:rsidRPr="002456EB" w:rsidRDefault="008A7604" w:rsidP="008A7604">
      <w:pPr>
        <w:pBdr>
          <w:between w:val="single" w:sz="4" w:space="1" w:color="auto"/>
        </w:pBdr>
        <w:rPr>
          <w:b/>
          <w:sz w:val="24"/>
          <w:szCs w:val="24"/>
        </w:rPr>
      </w:pPr>
      <w:r w:rsidRPr="00FB54A9">
        <w:rPr>
          <w:sz w:val="24"/>
          <w:szCs w:val="24"/>
        </w:rPr>
        <w:t>Using a benchmark of 70, the results indicate that</w:t>
      </w:r>
      <w:r>
        <w:rPr>
          <w:sz w:val="24"/>
          <w:szCs w:val="24"/>
        </w:rPr>
        <w:t xml:space="preserve"> all students</w:t>
      </w:r>
      <w:r w:rsidRPr="00FB54A9">
        <w:rPr>
          <w:sz w:val="24"/>
          <w:szCs w:val="24"/>
        </w:rPr>
        <w:t xml:space="preserve"> (</w:t>
      </w:r>
      <w:r w:rsidRPr="00FB54A9">
        <w:rPr>
          <w:b/>
          <w:sz w:val="24"/>
          <w:szCs w:val="24"/>
        </w:rPr>
        <w:t>N=</w:t>
      </w:r>
      <w:r>
        <w:rPr>
          <w:b/>
          <w:sz w:val="24"/>
          <w:szCs w:val="24"/>
        </w:rPr>
        <w:t>6</w:t>
      </w:r>
      <w:r w:rsidRPr="00FB54A9">
        <w:rPr>
          <w:b/>
          <w:sz w:val="24"/>
          <w:szCs w:val="24"/>
        </w:rPr>
        <w:t xml:space="preserve">; </w:t>
      </w:r>
      <w:r>
        <w:rPr>
          <w:b/>
          <w:sz w:val="24"/>
          <w:szCs w:val="24"/>
        </w:rPr>
        <w:t>100</w:t>
      </w:r>
      <w:r w:rsidRPr="00FB54A9">
        <w:rPr>
          <w:b/>
          <w:sz w:val="24"/>
          <w:szCs w:val="24"/>
        </w:rPr>
        <w:t>%)</w:t>
      </w:r>
      <w:r w:rsidRPr="00FB54A9">
        <w:rPr>
          <w:sz w:val="24"/>
          <w:szCs w:val="24"/>
        </w:rPr>
        <w:t xml:space="preserve"> students in the Counseling Concentratio</w:t>
      </w:r>
      <w:r>
        <w:rPr>
          <w:sz w:val="24"/>
          <w:szCs w:val="24"/>
        </w:rPr>
        <w:t>n passed the benchmark</w:t>
      </w:r>
      <w:r w:rsidRPr="00FB54A9">
        <w:rPr>
          <w:sz w:val="24"/>
          <w:szCs w:val="24"/>
        </w:rPr>
        <w:t xml:space="preserve">. </w:t>
      </w:r>
      <w:r>
        <w:rPr>
          <w:sz w:val="24"/>
          <w:szCs w:val="24"/>
        </w:rPr>
        <w:t xml:space="preserve"> </w:t>
      </w:r>
      <w:r w:rsidRPr="002E0DA9">
        <w:rPr>
          <w:b/>
          <w:sz w:val="24"/>
          <w:szCs w:val="24"/>
        </w:rPr>
        <w:t>All but 1</w:t>
      </w:r>
      <w:r w:rsidRPr="00FB54A9">
        <w:rPr>
          <w:b/>
          <w:sz w:val="24"/>
          <w:szCs w:val="24"/>
        </w:rPr>
        <w:t xml:space="preserve"> </w:t>
      </w:r>
      <w:r w:rsidRPr="002E0DA9">
        <w:rPr>
          <w:b/>
          <w:sz w:val="24"/>
          <w:szCs w:val="24"/>
        </w:rPr>
        <w:t>student (N=3, 75%) in</w:t>
      </w:r>
      <w:r w:rsidRPr="00FB54A9">
        <w:rPr>
          <w:b/>
          <w:sz w:val="24"/>
          <w:szCs w:val="24"/>
        </w:rPr>
        <w:t xml:space="preserve"> Clinical</w:t>
      </w:r>
      <w:r w:rsidRPr="002E0DA9">
        <w:rPr>
          <w:b/>
          <w:sz w:val="24"/>
          <w:szCs w:val="24"/>
        </w:rPr>
        <w:t xml:space="preserve"> Concentration passed the benchmark. </w:t>
      </w:r>
      <w:r w:rsidRPr="00FB54A9">
        <w:rPr>
          <w:b/>
          <w:sz w:val="24"/>
          <w:szCs w:val="24"/>
        </w:rPr>
        <w:t xml:space="preserve"> </w:t>
      </w:r>
      <w:r w:rsidRPr="002E0DA9">
        <w:rPr>
          <w:b/>
          <w:sz w:val="24"/>
          <w:szCs w:val="24"/>
        </w:rPr>
        <w:t>Relative to</w:t>
      </w:r>
      <w:r w:rsidRPr="00FB54A9">
        <w:rPr>
          <w:b/>
          <w:sz w:val="24"/>
          <w:szCs w:val="24"/>
        </w:rPr>
        <w:t xml:space="preserve"> Rehabilitation</w:t>
      </w:r>
      <w:r w:rsidRPr="002E0DA9">
        <w:rPr>
          <w:b/>
          <w:sz w:val="24"/>
          <w:szCs w:val="24"/>
        </w:rPr>
        <w:t xml:space="preserve"> Counseling C</w:t>
      </w:r>
      <w:r w:rsidRPr="00FB54A9">
        <w:rPr>
          <w:b/>
          <w:sz w:val="24"/>
          <w:szCs w:val="24"/>
        </w:rPr>
        <w:t>oncentration</w:t>
      </w:r>
      <w:r w:rsidRPr="002E0DA9">
        <w:rPr>
          <w:b/>
          <w:sz w:val="24"/>
          <w:szCs w:val="24"/>
        </w:rPr>
        <w:t>, only (N=3, 33%) met</w:t>
      </w:r>
      <w:r w:rsidRPr="00FB54A9">
        <w:rPr>
          <w:b/>
          <w:sz w:val="24"/>
          <w:szCs w:val="24"/>
        </w:rPr>
        <w:t xml:space="preserve"> or exceeded the benchmark</w:t>
      </w:r>
      <w:r w:rsidRPr="002E0DA9">
        <w:rPr>
          <w:b/>
          <w:sz w:val="24"/>
          <w:szCs w:val="24"/>
        </w:rPr>
        <w:t xml:space="preserve">, 6 students (66.67%) did not meet the benchmark. </w:t>
      </w:r>
    </w:p>
    <w:p w:rsidR="002456EB" w:rsidRPr="002456EB" w:rsidRDefault="002456EB" w:rsidP="002456EB">
      <w:pPr>
        <w:rPr>
          <w:sz w:val="24"/>
          <w:szCs w:val="24"/>
        </w:rPr>
      </w:pPr>
      <w:r w:rsidRPr="002456EB">
        <w:rPr>
          <w:b/>
          <w:sz w:val="24"/>
          <w:szCs w:val="24"/>
        </w:rPr>
        <w:t>Status of Performance Target#1</w:t>
      </w:r>
      <w:r w:rsidRPr="002456EB">
        <w:rPr>
          <w:sz w:val="24"/>
          <w:szCs w:val="24"/>
        </w:rPr>
        <w:t>-</w:t>
      </w:r>
      <w:r w:rsidR="008C3068">
        <w:rPr>
          <w:sz w:val="24"/>
          <w:szCs w:val="24"/>
        </w:rPr>
        <w:t xml:space="preserve"> Not</w:t>
      </w:r>
      <w:r w:rsidRPr="002456EB">
        <w:rPr>
          <w:sz w:val="24"/>
          <w:szCs w:val="24"/>
        </w:rPr>
        <w:t xml:space="preserve"> Met</w:t>
      </w:r>
      <w:r w:rsidR="008C3068">
        <w:rPr>
          <w:sz w:val="24"/>
          <w:szCs w:val="24"/>
        </w:rPr>
        <w:t xml:space="preserve"> across all concentration areas.</w:t>
      </w:r>
    </w:p>
    <w:p w:rsidR="00EA65A1" w:rsidRDefault="002456EB" w:rsidP="002456EB">
      <w:pPr>
        <w:rPr>
          <w:sz w:val="24"/>
          <w:szCs w:val="24"/>
        </w:rPr>
      </w:pPr>
      <w:r w:rsidRPr="002456EB">
        <w:rPr>
          <w:b/>
          <w:sz w:val="24"/>
          <w:szCs w:val="24"/>
        </w:rPr>
        <w:t>Continuous Quality Improvement:</w:t>
      </w:r>
      <w:r w:rsidRPr="002456EB">
        <w:rPr>
          <w:sz w:val="24"/>
          <w:szCs w:val="24"/>
        </w:rPr>
        <w:t xml:space="preserve"> Faculty meet annually to review student assessment data. Item level analysis is used to make curricular modifications as necessary based on student performance.</w:t>
      </w:r>
    </w:p>
    <w:sectPr w:rsidR="00EA65A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FAD" w:rsidRDefault="00BB3FAD" w:rsidP="00171EE3">
      <w:pPr>
        <w:spacing w:after="0" w:line="240" w:lineRule="auto"/>
      </w:pPr>
      <w:r>
        <w:separator/>
      </w:r>
    </w:p>
  </w:endnote>
  <w:endnote w:type="continuationSeparator" w:id="0">
    <w:p w:rsidR="00BB3FAD" w:rsidRDefault="00BB3FAD" w:rsidP="00171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FAD" w:rsidRDefault="00BB3FAD" w:rsidP="00171EE3">
      <w:pPr>
        <w:spacing w:after="0" w:line="240" w:lineRule="auto"/>
      </w:pPr>
      <w:r>
        <w:separator/>
      </w:r>
    </w:p>
  </w:footnote>
  <w:footnote w:type="continuationSeparator" w:id="0">
    <w:p w:rsidR="00BB3FAD" w:rsidRDefault="00BB3FAD" w:rsidP="00171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068" w:rsidRDefault="008C3068">
    <w:pPr>
      <w:pStyle w:val="Header"/>
      <w:jc w:val="right"/>
    </w:pPr>
    <w:r>
      <w:fldChar w:fldCharType="begin"/>
    </w:r>
    <w:r>
      <w:instrText xml:space="preserve"> PAGE   \* MERGEFORMAT </w:instrText>
    </w:r>
    <w:r>
      <w:fldChar w:fldCharType="separate"/>
    </w:r>
    <w:r w:rsidR="00E678BB">
      <w:rPr>
        <w:noProof/>
      </w:rPr>
      <w:t>4</w:t>
    </w:r>
    <w:r>
      <w:rPr>
        <w:noProof/>
      </w:rPr>
      <w:fldChar w:fldCharType="end"/>
    </w:r>
  </w:p>
  <w:p w:rsidR="008C3068" w:rsidRDefault="008C30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18"/>
    <w:rsid w:val="000047C1"/>
    <w:rsid w:val="00010FAE"/>
    <w:rsid w:val="000303DA"/>
    <w:rsid w:val="00042D66"/>
    <w:rsid w:val="000628D0"/>
    <w:rsid w:val="00062EE1"/>
    <w:rsid w:val="0009294D"/>
    <w:rsid w:val="000A1E52"/>
    <w:rsid w:val="000B3633"/>
    <w:rsid w:val="000C1848"/>
    <w:rsid w:val="000C48BC"/>
    <w:rsid w:val="000C51A3"/>
    <w:rsid w:val="00103E80"/>
    <w:rsid w:val="0014271E"/>
    <w:rsid w:val="001501F6"/>
    <w:rsid w:val="00171EE3"/>
    <w:rsid w:val="00181ACC"/>
    <w:rsid w:val="00185F96"/>
    <w:rsid w:val="00196B15"/>
    <w:rsid w:val="001A65C0"/>
    <w:rsid w:val="001F1D39"/>
    <w:rsid w:val="0021311B"/>
    <w:rsid w:val="0022108E"/>
    <w:rsid w:val="00224629"/>
    <w:rsid w:val="0022680D"/>
    <w:rsid w:val="002456EB"/>
    <w:rsid w:val="00256571"/>
    <w:rsid w:val="00260492"/>
    <w:rsid w:val="00263D19"/>
    <w:rsid w:val="00275E07"/>
    <w:rsid w:val="00293E28"/>
    <w:rsid w:val="002A1EAD"/>
    <w:rsid w:val="002B5D31"/>
    <w:rsid w:val="002B7458"/>
    <w:rsid w:val="002C430E"/>
    <w:rsid w:val="002C604D"/>
    <w:rsid w:val="002F26D7"/>
    <w:rsid w:val="0030312A"/>
    <w:rsid w:val="00342506"/>
    <w:rsid w:val="003425EC"/>
    <w:rsid w:val="003508B3"/>
    <w:rsid w:val="00351903"/>
    <w:rsid w:val="003617AD"/>
    <w:rsid w:val="003626F3"/>
    <w:rsid w:val="003718C7"/>
    <w:rsid w:val="00377A66"/>
    <w:rsid w:val="003803C3"/>
    <w:rsid w:val="003909EE"/>
    <w:rsid w:val="0039265E"/>
    <w:rsid w:val="00397B08"/>
    <w:rsid w:val="003A5883"/>
    <w:rsid w:val="003B23F0"/>
    <w:rsid w:val="0040681D"/>
    <w:rsid w:val="00412ED9"/>
    <w:rsid w:val="00415D74"/>
    <w:rsid w:val="00416001"/>
    <w:rsid w:val="004236AB"/>
    <w:rsid w:val="00447DAE"/>
    <w:rsid w:val="0047423F"/>
    <w:rsid w:val="004927CE"/>
    <w:rsid w:val="00495C5F"/>
    <w:rsid w:val="004A3EA4"/>
    <w:rsid w:val="004C4032"/>
    <w:rsid w:val="004C480B"/>
    <w:rsid w:val="004D0937"/>
    <w:rsid w:val="004D16D1"/>
    <w:rsid w:val="004E2DB3"/>
    <w:rsid w:val="004F10EC"/>
    <w:rsid w:val="004F4C63"/>
    <w:rsid w:val="0051167A"/>
    <w:rsid w:val="00526A57"/>
    <w:rsid w:val="00541CE9"/>
    <w:rsid w:val="005429DB"/>
    <w:rsid w:val="00554A71"/>
    <w:rsid w:val="00595490"/>
    <w:rsid w:val="005968FB"/>
    <w:rsid w:val="005A54CC"/>
    <w:rsid w:val="005A68EA"/>
    <w:rsid w:val="005B175A"/>
    <w:rsid w:val="005D5782"/>
    <w:rsid w:val="005D6431"/>
    <w:rsid w:val="005F2417"/>
    <w:rsid w:val="005F6275"/>
    <w:rsid w:val="00601BB6"/>
    <w:rsid w:val="0061257C"/>
    <w:rsid w:val="00616A40"/>
    <w:rsid w:val="006447B3"/>
    <w:rsid w:val="00657D6B"/>
    <w:rsid w:val="00674741"/>
    <w:rsid w:val="00686134"/>
    <w:rsid w:val="00686718"/>
    <w:rsid w:val="0069003D"/>
    <w:rsid w:val="00691410"/>
    <w:rsid w:val="006C1A5E"/>
    <w:rsid w:val="006E0605"/>
    <w:rsid w:val="006E0E79"/>
    <w:rsid w:val="00715E82"/>
    <w:rsid w:val="007222E7"/>
    <w:rsid w:val="0073007D"/>
    <w:rsid w:val="0074791D"/>
    <w:rsid w:val="00752F89"/>
    <w:rsid w:val="00783463"/>
    <w:rsid w:val="00784FD6"/>
    <w:rsid w:val="00793B1A"/>
    <w:rsid w:val="007A4C85"/>
    <w:rsid w:val="007A6AF2"/>
    <w:rsid w:val="007B7F82"/>
    <w:rsid w:val="007C3D99"/>
    <w:rsid w:val="007C48BC"/>
    <w:rsid w:val="007E6AEA"/>
    <w:rsid w:val="007F2057"/>
    <w:rsid w:val="008047EE"/>
    <w:rsid w:val="00805DC7"/>
    <w:rsid w:val="008274B9"/>
    <w:rsid w:val="00894943"/>
    <w:rsid w:val="008A0399"/>
    <w:rsid w:val="008A7604"/>
    <w:rsid w:val="008B03B2"/>
    <w:rsid w:val="008C0433"/>
    <w:rsid w:val="008C3068"/>
    <w:rsid w:val="008D7979"/>
    <w:rsid w:val="008F33EC"/>
    <w:rsid w:val="008F41EE"/>
    <w:rsid w:val="008F4469"/>
    <w:rsid w:val="008F621E"/>
    <w:rsid w:val="00912F6D"/>
    <w:rsid w:val="009350AD"/>
    <w:rsid w:val="00950604"/>
    <w:rsid w:val="009511CA"/>
    <w:rsid w:val="00960C74"/>
    <w:rsid w:val="00966C2B"/>
    <w:rsid w:val="00972C6F"/>
    <w:rsid w:val="00987677"/>
    <w:rsid w:val="00993683"/>
    <w:rsid w:val="009970D7"/>
    <w:rsid w:val="009B3AA0"/>
    <w:rsid w:val="009F3394"/>
    <w:rsid w:val="00A17255"/>
    <w:rsid w:val="00A461A7"/>
    <w:rsid w:val="00A66E58"/>
    <w:rsid w:val="00A724D8"/>
    <w:rsid w:val="00A8355B"/>
    <w:rsid w:val="00A84E1B"/>
    <w:rsid w:val="00AA302B"/>
    <w:rsid w:val="00AA4DAA"/>
    <w:rsid w:val="00AC23C6"/>
    <w:rsid w:val="00AE538A"/>
    <w:rsid w:val="00AE7253"/>
    <w:rsid w:val="00AF1863"/>
    <w:rsid w:val="00AF3A03"/>
    <w:rsid w:val="00B2205A"/>
    <w:rsid w:val="00B23D5C"/>
    <w:rsid w:val="00B70D1C"/>
    <w:rsid w:val="00B906FA"/>
    <w:rsid w:val="00B92138"/>
    <w:rsid w:val="00BB3FAD"/>
    <w:rsid w:val="00BB5E15"/>
    <w:rsid w:val="00BE1E4A"/>
    <w:rsid w:val="00C27CDB"/>
    <w:rsid w:val="00C4529A"/>
    <w:rsid w:val="00C6723F"/>
    <w:rsid w:val="00C820C2"/>
    <w:rsid w:val="00C91B9A"/>
    <w:rsid w:val="00CA5CF0"/>
    <w:rsid w:val="00CB3B6C"/>
    <w:rsid w:val="00CC5EEF"/>
    <w:rsid w:val="00CC66A4"/>
    <w:rsid w:val="00CE116E"/>
    <w:rsid w:val="00D10032"/>
    <w:rsid w:val="00D120F1"/>
    <w:rsid w:val="00D715F4"/>
    <w:rsid w:val="00D91E78"/>
    <w:rsid w:val="00DA39B2"/>
    <w:rsid w:val="00E101E7"/>
    <w:rsid w:val="00E16FB4"/>
    <w:rsid w:val="00E31F4A"/>
    <w:rsid w:val="00E33347"/>
    <w:rsid w:val="00E563F2"/>
    <w:rsid w:val="00E65E8A"/>
    <w:rsid w:val="00E678BB"/>
    <w:rsid w:val="00E77030"/>
    <w:rsid w:val="00E841F2"/>
    <w:rsid w:val="00E87D13"/>
    <w:rsid w:val="00EA3679"/>
    <w:rsid w:val="00EA65A1"/>
    <w:rsid w:val="00EA7E2A"/>
    <w:rsid w:val="00EB1740"/>
    <w:rsid w:val="00ED4260"/>
    <w:rsid w:val="00ED5560"/>
    <w:rsid w:val="00EE4231"/>
    <w:rsid w:val="00EF3C8A"/>
    <w:rsid w:val="00EF74ED"/>
    <w:rsid w:val="00F12E5D"/>
    <w:rsid w:val="00F402DE"/>
    <w:rsid w:val="00F42CDC"/>
    <w:rsid w:val="00F5080E"/>
    <w:rsid w:val="00F6110E"/>
    <w:rsid w:val="00F81293"/>
    <w:rsid w:val="00F917FD"/>
    <w:rsid w:val="00FE4848"/>
    <w:rsid w:val="00FE5BD3"/>
    <w:rsid w:val="00FE68AD"/>
    <w:rsid w:val="00FF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97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1EE3"/>
    <w:pPr>
      <w:tabs>
        <w:tab w:val="center" w:pos="4680"/>
        <w:tab w:val="right" w:pos="9360"/>
      </w:tabs>
      <w:spacing w:after="0" w:line="240" w:lineRule="auto"/>
    </w:pPr>
  </w:style>
  <w:style w:type="character" w:customStyle="1" w:styleId="HeaderChar">
    <w:name w:val="Header Char"/>
    <w:link w:val="Header"/>
    <w:uiPriority w:val="99"/>
    <w:rsid w:val="00171EE3"/>
    <w:rPr>
      <w:sz w:val="22"/>
      <w:szCs w:val="22"/>
    </w:rPr>
  </w:style>
  <w:style w:type="paragraph" w:styleId="Footer">
    <w:name w:val="footer"/>
    <w:basedOn w:val="Normal"/>
    <w:link w:val="FooterChar"/>
    <w:uiPriority w:val="99"/>
    <w:unhideWhenUsed/>
    <w:rsid w:val="00171EE3"/>
    <w:pPr>
      <w:tabs>
        <w:tab w:val="center" w:pos="4680"/>
        <w:tab w:val="right" w:pos="9360"/>
      </w:tabs>
      <w:spacing w:after="0" w:line="240" w:lineRule="auto"/>
    </w:pPr>
  </w:style>
  <w:style w:type="character" w:customStyle="1" w:styleId="FooterChar">
    <w:name w:val="Footer Char"/>
    <w:link w:val="Footer"/>
    <w:uiPriority w:val="99"/>
    <w:rsid w:val="00171EE3"/>
    <w:rPr>
      <w:sz w:val="22"/>
      <w:szCs w:val="22"/>
    </w:rPr>
  </w:style>
  <w:style w:type="table" w:styleId="ListTable2-Accent2">
    <w:name w:val="List Table 2 Accent 2"/>
    <w:basedOn w:val="TableNormal"/>
    <w:uiPriority w:val="47"/>
    <w:rsid w:val="00752F8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752F8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1">
    <w:name w:val="List Table 2 Accent 1"/>
    <w:basedOn w:val="TableNormal"/>
    <w:uiPriority w:val="47"/>
    <w:rsid w:val="00752F8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5">
    <w:name w:val="List Table 1 Light Accent 5"/>
    <w:basedOn w:val="TableNormal"/>
    <w:uiPriority w:val="46"/>
    <w:rsid w:val="00752F8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752F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1Light-Accent1">
    <w:name w:val="Grid Table 1 Light Accent 1"/>
    <w:basedOn w:val="TableNormal"/>
    <w:uiPriority w:val="46"/>
    <w:rsid w:val="00EA65A1"/>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EA65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31122">
      <w:bodyDiv w:val="1"/>
      <w:marLeft w:val="0"/>
      <w:marRight w:val="0"/>
      <w:marTop w:val="0"/>
      <w:marBottom w:val="0"/>
      <w:divBdr>
        <w:top w:val="none" w:sz="0" w:space="0" w:color="auto"/>
        <w:left w:val="none" w:sz="0" w:space="0" w:color="auto"/>
        <w:bottom w:val="none" w:sz="0" w:space="0" w:color="auto"/>
        <w:right w:val="none" w:sz="0" w:space="0" w:color="auto"/>
      </w:divBdr>
    </w:div>
    <w:div w:id="814487909">
      <w:bodyDiv w:val="1"/>
      <w:marLeft w:val="0"/>
      <w:marRight w:val="0"/>
      <w:marTop w:val="0"/>
      <w:marBottom w:val="0"/>
      <w:divBdr>
        <w:top w:val="none" w:sz="0" w:space="0" w:color="auto"/>
        <w:left w:val="none" w:sz="0" w:space="0" w:color="auto"/>
        <w:bottom w:val="none" w:sz="0" w:space="0" w:color="auto"/>
        <w:right w:val="none" w:sz="0" w:space="0" w:color="auto"/>
      </w:divBdr>
    </w:div>
    <w:div w:id="1222206708">
      <w:bodyDiv w:val="1"/>
      <w:marLeft w:val="0"/>
      <w:marRight w:val="0"/>
      <w:marTop w:val="0"/>
      <w:marBottom w:val="0"/>
      <w:divBdr>
        <w:top w:val="none" w:sz="0" w:space="0" w:color="auto"/>
        <w:left w:val="none" w:sz="0" w:space="0" w:color="auto"/>
        <w:bottom w:val="none" w:sz="0" w:space="0" w:color="auto"/>
        <w:right w:val="none" w:sz="0" w:space="0" w:color="auto"/>
      </w:divBdr>
    </w:div>
    <w:div w:id="1308393368">
      <w:bodyDiv w:val="1"/>
      <w:marLeft w:val="0"/>
      <w:marRight w:val="0"/>
      <w:marTop w:val="0"/>
      <w:marBottom w:val="0"/>
      <w:divBdr>
        <w:top w:val="none" w:sz="0" w:space="0" w:color="auto"/>
        <w:left w:val="none" w:sz="0" w:space="0" w:color="auto"/>
        <w:bottom w:val="none" w:sz="0" w:space="0" w:color="auto"/>
        <w:right w:val="none" w:sz="0" w:space="0" w:color="auto"/>
      </w:divBdr>
    </w:div>
    <w:div w:id="13717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404" b="0" i="0" u="none" strike="noStrike" baseline="0">
                <a:solidFill>
                  <a:srgbClr val="000000"/>
                </a:solidFill>
                <a:latin typeface="Calibri"/>
                <a:ea typeface="Calibri"/>
                <a:cs typeface="Calibri"/>
              </a:defRPr>
            </a:pPr>
            <a:r>
              <a:rPr lang="en-US" sz="1116" b="1" i="0" u="none" strike="noStrike" baseline="0">
                <a:solidFill>
                  <a:srgbClr val="333333"/>
                </a:solidFill>
                <a:latin typeface="Calibri"/>
                <a:ea typeface="Calibri"/>
                <a:cs typeface="Calibri"/>
              </a:rPr>
              <a:t>2019</a:t>
            </a:r>
          </a:p>
          <a:p>
            <a:pPr>
              <a:defRPr sz="404" b="0" i="0" u="none" strike="noStrike" baseline="0">
                <a:solidFill>
                  <a:srgbClr val="000000"/>
                </a:solidFill>
                <a:latin typeface="Calibri"/>
                <a:ea typeface="Calibri"/>
                <a:cs typeface="Calibri"/>
              </a:defRPr>
            </a:pPr>
            <a:r>
              <a:rPr lang="en-US" sz="957" b="0" i="0" u="none" strike="noStrike" baseline="0">
                <a:solidFill>
                  <a:srgbClr val="000000"/>
                </a:solidFill>
                <a:latin typeface="Calibri"/>
                <a:ea typeface="Calibri"/>
                <a:cs typeface="Calibri"/>
              </a:rPr>
              <a:t> </a:t>
            </a:r>
            <a:r>
              <a:rPr lang="en-US" sz="1116" b="0" i="0" u="none" strike="noStrike" baseline="0">
                <a:solidFill>
                  <a:srgbClr val="000000"/>
                </a:solidFill>
                <a:latin typeface="Calibri"/>
                <a:ea typeface="Calibri"/>
                <a:cs typeface="Calibri"/>
              </a:rPr>
              <a:t>Graduate Psychology </a:t>
            </a:r>
          </a:p>
          <a:p>
            <a:pPr>
              <a:defRPr sz="404" b="0" i="0" u="none" strike="noStrike" baseline="0">
                <a:solidFill>
                  <a:srgbClr val="000000"/>
                </a:solidFill>
                <a:latin typeface="Calibri"/>
                <a:ea typeface="Calibri"/>
                <a:cs typeface="Calibri"/>
              </a:defRPr>
            </a:pPr>
            <a:r>
              <a:rPr lang="en-US" sz="1116" b="1" i="0" u="none" strike="noStrike" baseline="0">
                <a:solidFill>
                  <a:srgbClr val="333333"/>
                </a:solidFill>
                <a:latin typeface="Calibri"/>
                <a:ea typeface="Calibri"/>
                <a:cs typeface="Calibri"/>
              </a:rPr>
              <a:t>Comprehensive Exam Results</a:t>
            </a:r>
          </a:p>
          <a:p>
            <a:pPr>
              <a:defRPr sz="404" b="0" i="0" u="none" strike="noStrike" baseline="0">
                <a:solidFill>
                  <a:srgbClr val="000000"/>
                </a:solidFill>
                <a:latin typeface="Calibri"/>
                <a:ea typeface="Calibri"/>
                <a:cs typeface="Calibri"/>
              </a:defRPr>
            </a:pPr>
            <a:r>
              <a:rPr lang="en-US" sz="1116" b="0" i="0" u="none" strike="noStrike" baseline="0">
                <a:solidFill>
                  <a:srgbClr val="DD0806"/>
                </a:solidFill>
                <a:latin typeface="Calibri"/>
                <a:ea typeface="Calibri"/>
                <a:cs typeface="Calibri"/>
              </a:rPr>
              <a:t>Benchmark =70%</a:t>
            </a:r>
          </a:p>
          <a:p>
            <a:pPr>
              <a:defRPr sz="404" b="0" i="0" u="none" strike="noStrike" baseline="0">
                <a:solidFill>
                  <a:srgbClr val="000000"/>
                </a:solidFill>
                <a:latin typeface="Calibri"/>
                <a:ea typeface="Calibri"/>
                <a:cs typeface="Calibri"/>
              </a:defRPr>
            </a:pPr>
            <a:r>
              <a:rPr lang="en-US" sz="957" b="0" i="0" u="none" strike="noStrike" baseline="0">
                <a:solidFill>
                  <a:srgbClr val="000000"/>
                </a:solidFill>
                <a:latin typeface="Calibri"/>
                <a:ea typeface="Calibri"/>
                <a:cs typeface="Calibri"/>
              </a:rPr>
              <a:t>N=20 students</a:t>
            </a:r>
          </a:p>
        </c:rich>
      </c:tx>
      <c:overlay val="0"/>
      <c:spPr>
        <a:noFill/>
        <a:ln w="20254">
          <a:noFill/>
        </a:ln>
      </c:spPr>
    </c:title>
    <c:autoTitleDeleted val="0"/>
    <c:plotArea>
      <c:layout/>
      <c:barChart>
        <c:barDir val="bar"/>
        <c:grouping val="clustered"/>
        <c:varyColors val="0"/>
        <c:ser>
          <c:idx val="0"/>
          <c:order val="0"/>
          <c:tx>
            <c:strRef>
              <c:f>Sheet1!$B$1</c:f>
              <c:strCache>
                <c:ptCount val="1"/>
                <c:pt idx="0">
                  <c:v>Percent</c:v>
                </c:pt>
              </c:strCache>
            </c:strRef>
          </c:tx>
          <c:spPr>
            <a:solidFill>
              <a:srgbClr val="4472C4"/>
            </a:solidFill>
            <a:ln w="20254">
              <a:noFill/>
            </a:ln>
          </c:spPr>
          <c:invertIfNegative val="0"/>
          <c:dLbls>
            <c:spPr>
              <a:noFill/>
              <a:ln w="20254">
                <a:noFill/>
              </a:ln>
            </c:spPr>
            <c:txPr>
              <a:bodyPr rot="0" spcFirstLastPara="1" vertOverflow="ellipsis" vert="horz" wrap="square" lIns="38100" tIns="19050" rIns="38100" bIns="19050" anchor="ctr" anchorCtr="1">
                <a:spAutoFit/>
              </a:bodyPr>
              <a:lstStyle/>
              <a:p>
                <a:pPr>
                  <a:defRPr sz="718"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0">
                  <c:v>Students Above Benchmark</c:v>
                </c:pt>
                <c:pt idx="1">
                  <c:v>Students Below Benchmark</c:v>
                </c:pt>
              </c:strCache>
            </c:strRef>
          </c:cat>
          <c:val>
            <c:numRef>
              <c:f>Sheet1!$B$2:$B$5</c:f>
              <c:numCache>
                <c:formatCode>0%</c:formatCode>
                <c:ptCount val="4"/>
                <c:pt idx="0">
                  <c:v>0.6</c:v>
                </c:pt>
                <c:pt idx="1">
                  <c:v>0.4</c:v>
                </c:pt>
              </c:numCache>
            </c:numRef>
          </c:val>
          <c:extLst>
            <c:ext xmlns:c16="http://schemas.microsoft.com/office/drawing/2014/chart" uri="{C3380CC4-5D6E-409C-BE32-E72D297353CC}">
              <c16:uniqueId val="{00000000-BB6A-45C7-BB82-52967E8530B3}"/>
            </c:ext>
          </c:extLst>
        </c:ser>
        <c:dLbls>
          <c:showLegendKey val="0"/>
          <c:showVal val="0"/>
          <c:showCatName val="0"/>
          <c:showSerName val="0"/>
          <c:showPercent val="0"/>
          <c:showBubbleSize val="0"/>
        </c:dLbls>
        <c:gapWidth val="182"/>
        <c:axId val="687275216"/>
        <c:axId val="723170336"/>
      </c:barChart>
      <c:catAx>
        <c:axId val="687275216"/>
        <c:scaling>
          <c:orientation val="minMax"/>
        </c:scaling>
        <c:delete val="0"/>
        <c:axPos val="l"/>
        <c:numFmt formatCode="General" sourceLinked="1"/>
        <c:majorTickMark val="none"/>
        <c:minorTickMark val="none"/>
        <c:tickLblPos val="nextTo"/>
        <c:spPr>
          <a:noFill/>
          <a:ln w="7595" cap="flat" cmpd="sng" algn="ctr">
            <a:solidFill>
              <a:schemeClr val="tx1">
                <a:lumMod val="15000"/>
                <a:lumOff val="85000"/>
              </a:schemeClr>
            </a:solidFill>
            <a:round/>
          </a:ln>
          <a:effectLst/>
        </c:spPr>
        <c:txPr>
          <a:bodyPr rot="-60000000" spcFirstLastPara="1" vertOverflow="ellipsis" vert="horz" wrap="square" anchor="ctr" anchorCtr="1"/>
          <a:lstStyle/>
          <a:p>
            <a:pPr>
              <a:defRPr sz="718" b="0" i="0" u="none" strike="noStrike" kern="1200" baseline="0">
                <a:solidFill>
                  <a:schemeClr val="tx1">
                    <a:lumMod val="65000"/>
                    <a:lumOff val="35000"/>
                  </a:schemeClr>
                </a:solidFill>
                <a:latin typeface="+mn-lt"/>
                <a:ea typeface="+mn-ea"/>
                <a:cs typeface="+mn-cs"/>
              </a:defRPr>
            </a:pPr>
            <a:endParaRPr lang="en-US"/>
          </a:p>
        </c:txPr>
        <c:crossAx val="723170336"/>
        <c:crosses val="autoZero"/>
        <c:auto val="1"/>
        <c:lblAlgn val="ctr"/>
        <c:lblOffset val="100"/>
        <c:noMultiLvlLbl val="0"/>
      </c:catAx>
      <c:valAx>
        <c:axId val="723170336"/>
        <c:scaling>
          <c:orientation val="minMax"/>
        </c:scaling>
        <c:delete val="0"/>
        <c:axPos val="b"/>
        <c:majorGridlines>
          <c:spPr>
            <a:ln w="7595" cap="flat" cmpd="sng" algn="ctr">
              <a:solidFill>
                <a:schemeClr val="tx1">
                  <a:lumMod val="15000"/>
                  <a:lumOff val="85000"/>
                </a:schemeClr>
              </a:solidFill>
              <a:round/>
            </a:ln>
            <a:effectLst/>
          </c:spPr>
        </c:majorGridlines>
        <c:numFmt formatCode="0%" sourceLinked="1"/>
        <c:majorTickMark val="none"/>
        <c:minorTickMark val="none"/>
        <c:tickLblPos val="nextTo"/>
        <c:spPr>
          <a:ln w="5064">
            <a:noFill/>
          </a:ln>
        </c:spPr>
        <c:txPr>
          <a:bodyPr rot="-60000000" spcFirstLastPara="1" vertOverflow="ellipsis" vert="horz" wrap="square" anchor="ctr" anchorCtr="1"/>
          <a:lstStyle/>
          <a:p>
            <a:pPr>
              <a:defRPr sz="718" b="0" i="0" u="none" strike="noStrike" kern="1200" baseline="0">
                <a:solidFill>
                  <a:schemeClr val="tx1">
                    <a:lumMod val="65000"/>
                    <a:lumOff val="35000"/>
                  </a:schemeClr>
                </a:solidFill>
                <a:latin typeface="+mn-lt"/>
                <a:ea typeface="+mn-ea"/>
                <a:cs typeface="+mn-cs"/>
              </a:defRPr>
            </a:pPr>
            <a:endParaRPr lang="en-US"/>
          </a:p>
        </c:txPr>
        <c:crossAx val="687275216"/>
        <c:crosses val="autoZero"/>
        <c:crossBetween val="between"/>
      </c:valAx>
      <c:spPr>
        <a:noFill/>
        <a:ln w="20254">
          <a:noFill/>
        </a:ln>
      </c:spPr>
    </c:plotArea>
    <c:plotVisOnly val="1"/>
    <c:dispBlanksAs val="gap"/>
    <c:showDLblsOverMax val="0"/>
  </c:chart>
  <c:spPr>
    <a:solidFill>
      <a:schemeClr val="bg1"/>
    </a:solidFill>
    <a:ln w="759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14</TotalTime>
  <Pages>1</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Gere</dc:creator>
  <cp:keywords/>
  <dc:description/>
  <cp:lastModifiedBy>TD</cp:lastModifiedBy>
  <cp:revision>2</cp:revision>
  <dcterms:created xsi:type="dcterms:W3CDTF">2019-06-10T15:18:00Z</dcterms:created>
  <dcterms:modified xsi:type="dcterms:W3CDTF">2019-06-10T15:18:00Z</dcterms:modified>
</cp:coreProperties>
</file>